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84BAB">
      <w:pPr>
        <w:widowControl/>
        <w:spacing w:line="360" w:lineRule="auto"/>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上海电力大学2</w:t>
      </w:r>
      <w:r>
        <w:rPr>
          <w:rFonts w:ascii="宋体" w:hAnsi="宋体" w:cs="宋体"/>
          <w:b/>
          <w:bCs/>
          <w:color w:val="000000" w:themeColor="text1"/>
          <w:sz w:val="32"/>
          <w:szCs w:val="32"/>
          <w14:textFill>
            <w14:solidFill>
              <w14:schemeClr w14:val="tx1"/>
            </w14:solidFill>
          </w14:textFill>
        </w:rPr>
        <w:t>026</w:t>
      </w:r>
      <w:r>
        <w:rPr>
          <w:rFonts w:hint="eastAsia" w:ascii="宋体" w:hAnsi="宋体" w:cs="宋体"/>
          <w:b/>
          <w:bCs/>
          <w:color w:val="000000" w:themeColor="text1"/>
          <w:sz w:val="32"/>
          <w:szCs w:val="32"/>
          <w14:textFill>
            <w14:solidFill>
              <w14:schemeClr w14:val="tx1"/>
            </w14:solidFill>
          </w14:textFill>
        </w:rPr>
        <w:t>版研究生培养方案制定（修订）</w:t>
      </w:r>
    </w:p>
    <w:p w14:paraId="48ECE615">
      <w:pPr>
        <w:widowControl/>
        <w:spacing w:line="360" w:lineRule="auto"/>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指导意见</w:t>
      </w:r>
    </w:p>
    <w:p w14:paraId="6E3A3D7B">
      <w:pPr>
        <w:widowControl/>
        <w:spacing w:line="360" w:lineRule="auto"/>
        <w:jc w:val="center"/>
        <w:rPr>
          <w:rFonts w:ascii="宋体" w:hAnsi="宋体" w:cs="宋体"/>
          <w:b/>
          <w:bCs/>
          <w:color w:val="000000" w:themeColor="text1"/>
          <w:sz w:val="24"/>
          <w14:textFill>
            <w14:solidFill>
              <w14:schemeClr w14:val="tx1"/>
            </w14:solidFill>
          </w14:textFill>
        </w:rPr>
      </w:pPr>
    </w:p>
    <w:p w14:paraId="72D35EF5">
      <w:pPr>
        <w:widowControl/>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为贯彻落实《中华人民共和国学位法》与《教育强国建设规划纲要（2024-2035年）》的战略部署，进一步深化研究生培养模式改革，优化研究生课程体系，提高研究生教育内涵质量，结合《上海电力大学深化综合改革方案（2025-2030年）》总体要求，确保2026版研究生培养方案修订工作的高质量开展，特制定本指导意见。</w:t>
      </w:r>
    </w:p>
    <w:p w14:paraId="4A465BED">
      <w:pPr>
        <w:widowControl/>
        <w:spacing w:line="360" w:lineRule="auto"/>
        <w:jc w:val="left"/>
        <w:rPr>
          <w:rFonts w:ascii="宋体" w:hAnsi="宋体" w:cs="宋体"/>
          <w:color w:val="000000" w:themeColor="text1"/>
          <w:kern w:val="0"/>
          <w:sz w:val="24"/>
          <w:lang w:bidi="ar"/>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一、指导思想</w:t>
      </w:r>
    </w:p>
    <w:p w14:paraId="4F761672">
      <w:pPr>
        <w:widowControl/>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本次修订以习近平新时代中国特色社会主义思想为指导，以服务“双碳”目标、能源安全及新型电力系统建设等国家重大战略为使命，以培养能源电力领域拔尖创新人才和高水平应用型人才为核心任务。各培养单位必须把培养方案作为落实立德树人根本任务、支撑能源电力行业高水平科技自立自强的根本抓手；大胆吸收、借鉴国内外先进的研究生培养经验和管理模式，规范和优化研究生培养过程；深入推进学术学位与专业学位研究生教育分类发展，主动对接能源电力行业技术变革，深化产教融合、科教融汇，构建与能源电力产业链深度耦合、与行业企业协同育人的一流研究生人才培养体系。</w:t>
      </w:r>
    </w:p>
    <w:p w14:paraId="28E441F8">
      <w:pPr>
        <w:widowControl/>
        <w:spacing w:line="360" w:lineRule="auto"/>
        <w:jc w:val="left"/>
        <w:rPr>
          <w:rFonts w:ascii="宋体" w:hAnsi="宋体" w:cs="宋体"/>
          <w:color w:val="000000" w:themeColor="text1"/>
          <w:kern w:val="0"/>
          <w:sz w:val="24"/>
          <w:lang w:bidi="ar"/>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二、基本原则</w:t>
      </w:r>
    </w:p>
    <w:p w14:paraId="34A7BA4B">
      <w:pPr>
        <w:widowControl/>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一）坚持立德树人，将能源报国价值导向贯穿研究生培养全过程。全面深化“时代新人铸魂工程”，统筹推进思政课程与课程思政同向同行。充分发掘能源电力行业伦理、绿色发展理念及“双碳”战略中的思政元素，把家国情怀、行业使命有机融入课程教学、学术训练、科研实践、论文指导等各环节，健全以学生成长为中心、德业兼修的人才培养体系。</w:t>
      </w:r>
    </w:p>
    <w:p w14:paraId="21A2AD49">
      <w:pPr>
        <w:widowControl/>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二）强化分类培养，推进学术学位与专业学位研究生教育分类发展。学术学位培养方案突出理论前沿性与学科交叉，厚植基础理论，拓宽学术视野，强化科学方法训练与原始创新能力，鼓励跨学科融合攻关；专业学位培养方案突出产教融合与实践导向，强化基础课程与行业实践课程有机结合，推广案例教学、项目教学等模式，提升解决新型电力系统复杂工程问题的能力。</w:t>
      </w:r>
    </w:p>
    <w:p w14:paraId="65D540B6">
      <w:pPr>
        <w:widowControl/>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三）加强放管结合，加大院部培养自主权。学校把握总体原则，设定培养方案基本框架，各培养单位应紧密对接能源电力产业链动态需求，在充分调研头部企业用人标准基础上，科学制定分类发展、特色鲜明、面向未来的培养方案。</w:t>
      </w:r>
    </w:p>
    <w:p w14:paraId="40810EA2">
      <w:pPr>
        <w:spacing w:line="360" w:lineRule="auto"/>
        <w:jc w:val="left"/>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三、学术学位研究生培养方案要求</w:t>
      </w:r>
    </w:p>
    <w:p w14:paraId="21D6E377">
      <w:pPr>
        <w:widowControl/>
        <w:spacing w:before="156" w:beforeLines="50" w:after="156" w:afterLines="50" w:line="360" w:lineRule="auto"/>
        <w:ind w:firstLine="480" w:firstLineChars="200"/>
        <w:jc w:val="left"/>
        <w:rPr>
          <w:rFonts w:ascii="宋体" w:hAnsi="宋体" w:cs="宋体"/>
          <w:b/>
          <w:bCs/>
          <w:color w:val="000000" w:themeColor="text1"/>
          <w:kern w:val="0"/>
          <w:sz w:val="24"/>
          <w:highlight w:val="yellow"/>
          <w:lang w:bidi="ar"/>
          <w14:textFill>
            <w14:solidFill>
              <w14:schemeClr w14:val="tx1"/>
            </w14:solidFill>
          </w14:textFill>
        </w:rPr>
      </w:pPr>
      <w:r>
        <w:rPr>
          <w:rFonts w:hint="eastAsia" w:ascii="宋体" w:hAnsi="宋体" w:cs="仿宋_GB2312"/>
          <w:color w:val="000000" w:themeColor="text1"/>
          <w:kern w:val="0"/>
          <w:sz w:val="24"/>
          <w:highlight w:val="yellow"/>
          <w14:textFill>
            <w14:solidFill>
              <w14:schemeClr w14:val="tx1"/>
            </w14:solidFill>
          </w14:textFill>
        </w:rPr>
        <w:t>学术学位研究生培养方案按一级学科制定。</w:t>
      </w:r>
    </w:p>
    <w:p w14:paraId="10B1D9B9">
      <w:pPr>
        <w:widowControl/>
        <w:spacing w:before="156" w:beforeLines="50" w:after="156" w:afterLines="50" w:line="360" w:lineRule="auto"/>
        <w:jc w:val="left"/>
        <w:rPr>
          <w:rFonts w:ascii="宋体" w:hAnsi="宋体" w:cs="宋体"/>
          <w:b/>
          <w:bCs/>
          <w:color w:val="000000" w:themeColor="text1"/>
          <w:kern w:val="0"/>
          <w:sz w:val="24"/>
          <w:lang w:bidi="ar"/>
          <w14:textFill>
            <w14:solidFill>
              <w14:schemeClr w14:val="tx1"/>
            </w14:solidFill>
          </w14:textFill>
        </w:rPr>
      </w:pPr>
      <w:r>
        <w:rPr>
          <w:rFonts w:hint="eastAsia" w:ascii="宋体" w:hAnsi="宋体" w:cs="宋体"/>
          <w:b/>
          <w:bCs/>
          <w:color w:val="000000" w:themeColor="text1"/>
          <w:kern w:val="0"/>
          <w:sz w:val="24"/>
          <w:lang w:bidi="ar"/>
          <w14:textFill>
            <w14:solidFill>
              <w14:schemeClr w14:val="tx1"/>
            </w14:solidFill>
          </w14:textFill>
        </w:rPr>
        <w:t>（一）学术学位博士研究生</w:t>
      </w:r>
    </w:p>
    <w:p w14:paraId="0800E7A3">
      <w:pPr>
        <w:spacing w:line="360" w:lineRule="auto"/>
        <w:ind w:firstLine="480" w:firstLineChars="200"/>
        <w:rPr>
          <w:color w:val="000000" w:themeColor="text1"/>
          <w:sz w:val="24"/>
          <w:highlight w:val="yellow"/>
          <w14:textFill>
            <w14:solidFill>
              <w14:schemeClr w14:val="tx1"/>
            </w14:solidFill>
          </w14:textFill>
        </w:rPr>
      </w:pPr>
      <w:r>
        <w:rPr>
          <w:rFonts w:hint="eastAsia"/>
          <w:color w:val="000000" w:themeColor="text1"/>
          <w:sz w:val="24"/>
          <w14:textFill>
            <w14:solidFill>
              <w14:schemeClr w14:val="tx1"/>
            </w14:solidFill>
          </w14:textFill>
        </w:rPr>
        <w:t>根据学科发展需要，在去年培养方案基础上进一步优化、完善。</w:t>
      </w:r>
      <w:r>
        <w:rPr>
          <w:rFonts w:hint="eastAsia"/>
          <w:b/>
          <w:bCs/>
          <w:color w:val="000000" w:themeColor="text1"/>
          <w:sz w:val="24"/>
          <w:highlight w:val="yellow"/>
          <w14:textFill>
            <w14:solidFill>
              <w14:schemeClr w14:val="tx1"/>
            </w14:solidFill>
          </w14:textFill>
        </w:rPr>
        <w:t>硕博连读试点院部应充分发挥贯通培养在创新人才培养中的优势，制定针对性培养方案。</w:t>
      </w:r>
    </w:p>
    <w:p w14:paraId="7F9E39B0">
      <w:pPr>
        <w:widowControl/>
        <w:spacing w:before="156" w:beforeLines="50" w:after="156" w:afterLines="50" w:line="360" w:lineRule="auto"/>
        <w:jc w:val="left"/>
        <w:rPr>
          <w:rFonts w:ascii="宋体" w:hAnsi="宋体" w:cs="宋体"/>
          <w:b/>
          <w:bCs/>
          <w:color w:val="000000" w:themeColor="text1"/>
          <w:kern w:val="0"/>
          <w:sz w:val="24"/>
          <w:lang w:bidi="ar"/>
          <w14:textFill>
            <w14:solidFill>
              <w14:schemeClr w14:val="tx1"/>
            </w14:solidFill>
          </w14:textFill>
        </w:rPr>
      </w:pPr>
      <w:r>
        <w:rPr>
          <w:rFonts w:hint="eastAsia" w:ascii="宋体" w:hAnsi="宋体" w:cs="宋体"/>
          <w:b/>
          <w:bCs/>
          <w:color w:val="000000" w:themeColor="text1"/>
          <w:kern w:val="0"/>
          <w:sz w:val="24"/>
          <w:lang w:bidi="ar"/>
          <w14:textFill>
            <w14:solidFill>
              <w14:schemeClr w14:val="tx1"/>
            </w14:solidFill>
          </w14:textFill>
        </w:rPr>
        <w:t>（二）学术学位硕士研究生</w:t>
      </w:r>
    </w:p>
    <w:p w14:paraId="1BA6244D">
      <w:pPr>
        <w:spacing w:line="360" w:lineRule="auto"/>
        <w:jc w:val="left"/>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1.培养目标</w:t>
      </w:r>
    </w:p>
    <w:p w14:paraId="5EA651C1">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在满足国家对学术学位研究生要求</w:t>
      </w:r>
      <w:r>
        <w:rPr>
          <w:rFonts w:hint="eastAsia"/>
          <w:b/>
          <w:color w:val="000000" w:themeColor="text1"/>
          <w:sz w:val="24"/>
          <w:highlight w:val="yellow"/>
          <w14:textFill>
            <w14:solidFill>
              <w14:schemeClr w14:val="tx1"/>
            </w14:solidFill>
          </w14:textFill>
        </w:rPr>
        <w:t>（具有独立从事学术研究工作的能力）</w:t>
      </w:r>
      <w:r>
        <w:rPr>
          <w:rFonts w:hint="eastAsia"/>
          <w:color w:val="000000" w:themeColor="text1"/>
          <w:sz w:val="24"/>
          <w14:textFill>
            <w14:solidFill>
              <w14:schemeClr w14:val="tx1"/>
            </w14:solidFill>
          </w14:textFill>
        </w:rPr>
        <w:t>的基础上，各学科应紧密结合自身优势和特色，制定个性鲜明、各具特色的培养目标，满足国家经济社会发展对人才的需求。培养目标和基本要求应具备有效性和可检验性，应与毕业生就业情况充分契合。</w:t>
      </w:r>
    </w:p>
    <w:p w14:paraId="6410D8AB">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2.学习年限</w:t>
      </w:r>
    </w:p>
    <w:p w14:paraId="3A85D643">
      <w:pPr>
        <w:spacing w:line="36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学制和学习年限参照《上海电力大学研究生学籍管理规定》执行，应在学校规定的最长修学年限内完成学业。</w:t>
      </w:r>
    </w:p>
    <w:p w14:paraId="06A36240">
      <w:pPr>
        <w:widowControl/>
        <w:spacing w:line="360" w:lineRule="auto"/>
        <w:jc w:val="left"/>
        <w:rPr>
          <w:rFonts w:ascii="宋体" w:hAnsi="宋体" w:cs="黑体"/>
          <w:b/>
          <w:color w:val="000000" w:themeColor="text1"/>
          <w:kern w:val="0"/>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3.培养</w:t>
      </w:r>
      <w:r>
        <w:rPr>
          <w:rFonts w:hint="eastAsia" w:ascii="宋体" w:hAnsi="宋体" w:cs="黑体"/>
          <w:b/>
          <w:color w:val="000000" w:themeColor="text1"/>
          <w:kern w:val="0"/>
          <w:sz w:val="24"/>
          <w14:textFill>
            <w14:solidFill>
              <w14:schemeClr w14:val="tx1"/>
            </w14:solidFill>
          </w14:textFill>
        </w:rPr>
        <w:t>方向</w:t>
      </w:r>
    </w:p>
    <w:p w14:paraId="45DAF352">
      <w:pPr>
        <w:autoSpaceDE w:val="0"/>
        <w:autoSpaceDN w:val="0"/>
        <w:adjustRightInd w:val="0"/>
        <w:spacing w:line="360" w:lineRule="auto"/>
        <w:ind w:firstLine="480" w:firstLineChars="200"/>
        <w:jc w:val="left"/>
        <w:rPr>
          <w:rFonts w:ascii="宋体" w:hAnsi="宋体" w:cs="仿宋_GB2312"/>
          <w:b/>
          <w:color w:val="000000" w:themeColor="text1"/>
          <w:kern w:val="0"/>
          <w:sz w:val="24"/>
          <w:highlight w:val="yellow"/>
          <w14:textFill>
            <w14:solidFill>
              <w14:schemeClr w14:val="tx1"/>
            </w14:solidFill>
          </w14:textFill>
        </w:rPr>
      </w:pPr>
      <w:r>
        <w:rPr>
          <w:rFonts w:hint="eastAsia" w:ascii="宋体" w:hAnsi="宋体" w:cs="仿宋_GB2312"/>
          <w:color w:val="000000" w:themeColor="text1"/>
          <w:kern w:val="0"/>
          <w:sz w:val="24"/>
          <w:highlight w:val="yellow"/>
          <w14:textFill>
            <w14:solidFill>
              <w14:schemeClr w14:val="tx1"/>
            </w14:solidFill>
          </w14:textFill>
        </w:rPr>
        <w:t>培养方向一般不超过5个</w:t>
      </w:r>
      <w:r>
        <w:rPr>
          <w:rFonts w:hint="eastAsia" w:ascii="宋体" w:hAnsi="宋体" w:cs="仿宋_GB2312"/>
          <w:color w:val="000000" w:themeColor="text1"/>
          <w:kern w:val="0"/>
          <w:sz w:val="24"/>
          <w14:textFill>
            <w14:solidFill>
              <w14:schemeClr w14:val="tx1"/>
            </w14:solidFill>
          </w14:textFill>
        </w:rPr>
        <w:t>，设置要科学、规范、相对稳定，反映学科先进性和前瞻性，要能适应、引导学科发展和社会需求，并能体现我校办学优势和特色。</w:t>
      </w:r>
      <w:r>
        <w:rPr>
          <w:rFonts w:hint="eastAsia" w:ascii="宋体" w:hAnsi="宋体" w:cs="仿宋_GB2312"/>
          <w:b/>
          <w:color w:val="000000" w:themeColor="text1"/>
          <w:kern w:val="0"/>
          <w:sz w:val="24"/>
          <w:highlight w:val="yellow"/>
          <w14:textFill>
            <w14:solidFill>
              <w14:schemeClr w14:val="tx1"/>
            </w14:solidFill>
          </w14:textFill>
        </w:rPr>
        <w:t>建议每个方向的</w:t>
      </w:r>
      <w:r>
        <w:rPr>
          <w:rFonts w:ascii="宋体" w:hAnsi="宋体" w:cs="仿宋_GB2312"/>
          <w:b/>
          <w:color w:val="000000" w:themeColor="text1"/>
          <w:kern w:val="0"/>
          <w:sz w:val="24"/>
          <w:highlight w:val="yellow"/>
          <w14:textFill>
            <w14:solidFill>
              <w14:schemeClr w14:val="tx1"/>
            </w14:solidFill>
          </w14:textFill>
        </w:rPr>
        <w:t>说明</w:t>
      </w:r>
      <w:r>
        <w:rPr>
          <w:rFonts w:hint="eastAsia" w:ascii="宋体" w:hAnsi="宋体" w:cs="仿宋_GB2312"/>
          <w:b/>
          <w:color w:val="000000" w:themeColor="text1"/>
          <w:kern w:val="0"/>
          <w:sz w:val="24"/>
          <w:highlight w:val="yellow"/>
          <w14:textFill>
            <w14:solidFill>
              <w14:schemeClr w14:val="tx1"/>
            </w14:solidFill>
          </w14:textFill>
        </w:rPr>
        <w:t>在</w:t>
      </w:r>
      <w:r>
        <w:rPr>
          <w:rFonts w:ascii="宋体" w:hAnsi="宋体" w:cs="仿宋_GB2312"/>
          <w:b/>
          <w:color w:val="000000" w:themeColor="text1"/>
          <w:kern w:val="0"/>
          <w:sz w:val="24"/>
          <w:highlight w:val="yellow"/>
          <w14:textFill>
            <w14:solidFill>
              <w14:schemeClr w14:val="tx1"/>
            </w14:solidFill>
          </w14:textFill>
        </w:rPr>
        <w:t>100字以内</w:t>
      </w:r>
      <w:r>
        <w:rPr>
          <w:rFonts w:hint="eastAsia" w:ascii="宋体" w:hAnsi="宋体" w:cs="仿宋_GB2312"/>
          <w:b/>
          <w:color w:val="000000" w:themeColor="text1"/>
          <w:kern w:val="0"/>
          <w:sz w:val="24"/>
          <w:highlight w:val="yellow"/>
          <w14:textFill>
            <w14:solidFill>
              <w14:schemeClr w14:val="tx1"/>
            </w14:solidFill>
          </w14:textFill>
        </w:rPr>
        <w:t>。</w:t>
      </w:r>
    </w:p>
    <w:p w14:paraId="76F5722C">
      <w:pPr>
        <w:autoSpaceDE w:val="0"/>
        <w:autoSpaceDN w:val="0"/>
        <w:adjustRightInd w:val="0"/>
        <w:spacing w:line="360" w:lineRule="auto"/>
        <w:jc w:val="left"/>
        <w:rPr>
          <w:rFonts w:ascii="宋体" w:hAnsi="宋体" w:cs="黑体"/>
          <w:b/>
          <w:color w:val="000000" w:themeColor="text1"/>
          <w:kern w:val="0"/>
          <w:sz w:val="24"/>
          <w14:textFill>
            <w14:solidFill>
              <w14:schemeClr w14:val="tx1"/>
            </w14:solidFill>
          </w14:textFill>
        </w:rPr>
      </w:pPr>
      <w:r>
        <w:rPr>
          <w:rFonts w:hint="eastAsia" w:ascii="宋体" w:hAnsi="宋体" w:cs="黑体"/>
          <w:b/>
          <w:color w:val="000000" w:themeColor="text1"/>
          <w:kern w:val="0"/>
          <w:sz w:val="24"/>
          <w14:textFill>
            <w14:solidFill>
              <w14:schemeClr w14:val="tx1"/>
            </w14:solidFill>
          </w14:textFill>
        </w:rPr>
        <w:t>4.培养方式</w:t>
      </w:r>
    </w:p>
    <w:p w14:paraId="635E496F">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学术学位研究生的培养主要采取课程学习、科学研究、学术交流、社会实践和学位论文相结合的方式，实行导师负责制。强调科教融汇协同育人，鼓励以跨学科、交叉融合、知识整合方式开展高层次人才培养。</w:t>
      </w:r>
    </w:p>
    <w:p w14:paraId="54DDB931">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5.课程设置及学分</w:t>
      </w:r>
    </w:p>
    <w:p w14:paraId="3D2BF159">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课程学习应紧密围绕人才培养目标及基本要求，在满足学分要求的同时，</w:t>
      </w:r>
      <w:r>
        <w:rPr>
          <w:rFonts w:hint="eastAsia" w:ascii="宋体" w:hAnsi="宋体" w:cs="仿宋_GB2312"/>
          <w:color w:val="000000" w:themeColor="text1"/>
          <w:kern w:val="0"/>
          <w:sz w:val="24"/>
          <w14:textFill>
            <w14:solidFill>
              <w14:schemeClr w14:val="tx1"/>
            </w14:solidFill>
          </w14:textFill>
        </w:rPr>
        <w:t>建立课程体系改进、优化机制，增强课程内容前沿性，厚植理论基础，拓宽学术视野，强化科学方法训练以及学术素养提升，鼓励学科交叉。</w:t>
      </w:r>
      <w:r>
        <w:rPr>
          <w:rFonts w:hint="eastAsia" w:ascii="宋体" w:hAnsi="宋体" w:cs="宋体"/>
          <w:color w:val="000000" w:themeColor="text1"/>
          <w:kern w:val="0"/>
          <w:sz w:val="24"/>
          <w:lang w:bidi="ar"/>
          <w14:textFill>
            <w14:solidFill>
              <w14:schemeClr w14:val="tx1"/>
            </w14:solidFill>
          </w14:textFill>
        </w:rPr>
        <w:t>同时，</w:t>
      </w:r>
      <w:r>
        <w:rPr>
          <w:rFonts w:hint="eastAsia" w:ascii="宋体" w:hAnsi="宋体" w:cs="仿宋_GB2312"/>
          <w:color w:val="000000" w:themeColor="text1"/>
          <w:kern w:val="0"/>
          <w:sz w:val="24"/>
          <w14:textFill>
            <w14:solidFill>
              <w14:schemeClr w14:val="tx1"/>
            </w14:solidFill>
          </w14:textFill>
        </w:rPr>
        <w:t>全面推进课程思政建设，实现“门门有思政、人人重育人”。</w:t>
      </w:r>
    </w:p>
    <w:p w14:paraId="5F53EECD">
      <w:pPr>
        <w:autoSpaceDE w:val="0"/>
        <w:autoSpaceDN w:val="0"/>
        <w:adjustRightInd w:val="0"/>
        <w:spacing w:line="360" w:lineRule="auto"/>
        <w:ind w:firstLine="482" w:firstLineChars="200"/>
        <w:jc w:val="left"/>
        <w:rPr>
          <w:rFonts w:ascii="宋体" w:hAnsi="宋体" w:cs="仿宋_GB2312"/>
          <w:b/>
          <w:color w:val="000000" w:themeColor="text1"/>
          <w:kern w:val="0"/>
          <w:sz w:val="24"/>
          <w:highlight w:val="yellow"/>
          <w14:textFill>
            <w14:solidFill>
              <w14:schemeClr w14:val="tx1"/>
            </w14:solidFill>
          </w14:textFill>
        </w:rPr>
      </w:pPr>
      <w:r>
        <w:rPr>
          <w:rFonts w:hint="eastAsia" w:ascii="宋体" w:hAnsi="宋体" w:cs="仿宋_GB2312"/>
          <w:b/>
          <w:color w:val="000000" w:themeColor="text1"/>
          <w:kern w:val="0"/>
          <w:sz w:val="24"/>
          <w:highlight w:val="yellow"/>
          <w14:textFill>
            <w14:solidFill>
              <w14:schemeClr w14:val="tx1"/>
            </w14:solidFill>
          </w14:textFill>
        </w:rPr>
        <w:t>各院部要根据往年的开课情况优化课程体系，超过3年未开课的课程建议不再列入培养方案。原则上在第一学期内完成所有课程。</w:t>
      </w:r>
    </w:p>
    <w:p w14:paraId="0C285E9C">
      <w:pPr>
        <w:autoSpaceDE w:val="0"/>
        <w:autoSpaceDN w:val="0"/>
        <w:adjustRightInd w:val="0"/>
        <w:spacing w:line="360" w:lineRule="auto"/>
        <w:jc w:val="left"/>
        <w:rPr>
          <w:rFonts w:ascii="宋体" w:hAnsi="宋体" w:cs="黑体"/>
          <w:b/>
          <w:color w:val="000000" w:themeColor="text1"/>
          <w:kern w:val="0"/>
          <w:sz w:val="24"/>
          <w14:textFill>
            <w14:solidFill>
              <w14:schemeClr w14:val="tx1"/>
            </w14:solidFill>
          </w14:textFill>
        </w:rPr>
      </w:pPr>
      <w:r>
        <w:rPr>
          <w:rFonts w:hint="eastAsia" w:ascii="宋体" w:hAnsi="宋体" w:cs="黑体"/>
          <w:b/>
          <w:color w:val="000000" w:themeColor="text1"/>
          <w:kern w:val="0"/>
          <w:sz w:val="24"/>
          <w14:textFill>
            <w14:solidFill>
              <w14:schemeClr w14:val="tx1"/>
            </w14:solidFill>
          </w14:textFill>
        </w:rPr>
        <w:t>（1）最低学分要求</w:t>
      </w:r>
    </w:p>
    <w:p w14:paraId="48735895">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研究生课程学习采用学分制。一般课程每16学时计1学分。</w:t>
      </w:r>
    </w:p>
    <w:p w14:paraId="0EDDC230">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硕士研究生应修最低总学分32学分，其中课程学分不少于30学分，必修环节2学分。</w:t>
      </w:r>
    </w:p>
    <w:p w14:paraId="66361D71">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各院部、学科可根据本学科专业特点，确定不低于上述基本要求的学分。</w:t>
      </w:r>
    </w:p>
    <w:p w14:paraId="167AF841">
      <w:pPr>
        <w:autoSpaceDE w:val="0"/>
        <w:autoSpaceDN w:val="0"/>
        <w:adjustRightInd w:val="0"/>
        <w:spacing w:line="360" w:lineRule="auto"/>
        <w:jc w:val="left"/>
        <w:rPr>
          <w:rFonts w:ascii="宋体" w:hAnsi="宋体" w:cs="黑体"/>
          <w:b/>
          <w:color w:val="000000" w:themeColor="text1"/>
          <w:kern w:val="0"/>
          <w:sz w:val="24"/>
          <w14:textFill>
            <w14:solidFill>
              <w14:schemeClr w14:val="tx1"/>
            </w14:solidFill>
          </w14:textFill>
        </w:rPr>
      </w:pPr>
      <w:r>
        <w:rPr>
          <w:rFonts w:hint="eastAsia" w:ascii="宋体" w:hAnsi="宋体" w:cs="黑体"/>
          <w:b/>
          <w:color w:val="000000" w:themeColor="text1"/>
          <w:kern w:val="0"/>
          <w:sz w:val="24"/>
          <w14:textFill>
            <w14:solidFill>
              <w14:schemeClr w14:val="tx1"/>
            </w14:solidFill>
          </w14:textFill>
        </w:rPr>
        <w:t>（2）具体课程设置</w:t>
      </w:r>
    </w:p>
    <w:p w14:paraId="4B4FDA70">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建立科学、系统的课程体系，课程总数量应合理控制。</w:t>
      </w:r>
    </w:p>
    <w:p w14:paraId="608A9381">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课程设置框架包含必修课程（含公共必修课程和专业基础课程）、选修课程（含专业技术课程、专业特色课程、公共选修课程）和必选环节。</w:t>
      </w:r>
    </w:p>
    <w:p w14:paraId="60B0716D">
      <w:p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ascii="宋体" w:hAnsi="宋体" w:cs="仿宋_GB2312"/>
          <w:b/>
          <w:color w:val="000000" w:themeColor="text1"/>
          <w:kern w:val="0"/>
          <w:sz w:val="24"/>
          <w14:textFill>
            <w14:solidFill>
              <w14:schemeClr w14:val="tx1"/>
            </w14:solidFill>
          </w14:textFill>
        </w:rPr>
        <w:t>1</w:t>
      </w:r>
      <w:r>
        <w:rPr>
          <w:rFonts w:hint="eastAsia" w:ascii="宋体" w:hAnsi="宋体" w:cs="仿宋_GB2312"/>
          <w:b/>
          <w:color w:val="000000" w:themeColor="text1"/>
          <w:kern w:val="0"/>
          <w:sz w:val="24"/>
          <w14:textFill>
            <w14:solidFill>
              <w14:schemeClr w14:val="tx1"/>
            </w14:solidFill>
          </w14:textFill>
        </w:rPr>
        <w:t>）公共基础课程</w:t>
      </w:r>
      <w:r>
        <w:rPr>
          <w:rFonts w:hint="eastAsia" w:ascii="宋体" w:hAnsi="宋体" w:cs="仿宋_GB2312"/>
          <w:b/>
          <w:color w:val="000000" w:themeColor="text1"/>
          <w:kern w:val="0"/>
          <w:sz w:val="24"/>
          <w:highlight w:val="yellow"/>
          <w14:textFill>
            <w14:solidFill>
              <w14:schemeClr w14:val="tx1"/>
            </w14:solidFill>
          </w14:textFill>
        </w:rPr>
        <w:t>（=</w:t>
      </w:r>
      <w:r>
        <w:rPr>
          <w:rFonts w:ascii="宋体" w:hAnsi="宋体" w:cs="仿宋_GB2312"/>
          <w:b/>
          <w:color w:val="000000" w:themeColor="text1"/>
          <w:kern w:val="0"/>
          <w:sz w:val="24"/>
          <w:highlight w:val="yellow"/>
          <w14:textFill>
            <w14:solidFill>
              <w14:schemeClr w14:val="tx1"/>
            </w14:solidFill>
          </w14:textFill>
        </w:rPr>
        <w:t>7学分）</w:t>
      </w:r>
    </w:p>
    <w:p w14:paraId="58C9563B">
      <w:pPr>
        <w:autoSpaceDE w:val="0"/>
        <w:autoSpaceDN w:val="0"/>
        <w:adjustRightInd w:val="0"/>
        <w:spacing w:line="360" w:lineRule="auto"/>
        <w:ind w:firstLine="480" w:firstLineChars="200"/>
        <w:jc w:val="left"/>
        <w:rPr>
          <w:rFonts w:ascii="宋体" w:hAnsi="宋体" w:cs="仿宋_GB2312"/>
          <w:color w:val="000000" w:themeColor="text1"/>
          <w:kern w:val="0"/>
          <w:sz w:val="24"/>
          <w:highlight w:val="yellow"/>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包含：政治理论</w:t>
      </w:r>
      <w:r>
        <w:rPr>
          <w:rFonts w:hint="eastAsia" w:ascii="宋体" w:hAnsi="宋体" w:cs="宋体"/>
          <w:color w:val="000000" w:themeColor="text1"/>
          <w:kern w:val="0"/>
          <w:sz w:val="24"/>
          <w14:textFill>
            <w14:solidFill>
              <w14:schemeClr w14:val="tx1"/>
            </w14:solidFill>
          </w14:textFill>
        </w:rPr>
        <w:t>3学分</w:t>
      </w:r>
      <w:r>
        <w:rPr>
          <w:rFonts w:hint="eastAsia" w:ascii="宋体" w:hAnsi="宋体" w:cs="仿宋_GB2312"/>
          <w:color w:val="000000" w:themeColor="text1"/>
          <w:kern w:val="0"/>
          <w:sz w:val="24"/>
          <w14:textFill>
            <w14:solidFill>
              <w14:schemeClr w14:val="tx1"/>
            </w14:solidFill>
          </w14:textFill>
        </w:rPr>
        <w:t>、外语</w:t>
      </w:r>
      <w:r>
        <w:rPr>
          <w:rFonts w:hint="eastAsia" w:ascii="宋体" w:hAnsi="宋体" w:cs="宋体"/>
          <w:color w:val="000000" w:themeColor="text1"/>
          <w:kern w:val="0"/>
          <w:sz w:val="24"/>
          <w14:textFill>
            <w14:solidFill>
              <w14:schemeClr w14:val="tx1"/>
            </w14:solidFill>
          </w14:textFill>
        </w:rPr>
        <w:t>2学分</w:t>
      </w:r>
      <w:r>
        <w:rPr>
          <w:rFonts w:hint="eastAsia" w:ascii="宋体" w:hAnsi="宋体" w:cs="仿宋_GB2312"/>
          <w:color w:val="000000" w:themeColor="text1"/>
          <w:kern w:val="0"/>
          <w:sz w:val="24"/>
          <w14:textFill>
            <w14:solidFill>
              <w14:schemeClr w14:val="tx1"/>
            </w14:solidFill>
          </w14:textFill>
        </w:rPr>
        <w:t>、学术道德与论文写作类</w:t>
      </w:r>
      <w:r>
        <w:rPr>
          <w:rFonts w:hint="eastAsia" w:ascii="宋体" w:hAnsi="宋体" w:cs="宋体"/>
          <w:color w:val="000000" w:themeColor="text1"/>
          <w:kern w:val="0"/>
          <w:sz w:val="24"/>
          <w14:textFill>
            <w14:solidFill>
              <w14:schemeClr w14:val="tx1"/>
            </w14:solidFill>
          </w14:textFill>
        </w:rPr>
        <w:t>1学分、</w:t>
      </w:r>
      <w:r>
        <w:rPr>
          <w:rFonts w:hint="eastAsia" w:ascii="宋体" w:hAnsi="宋体" w:cs="宋体"/>
          <w:b/>
          <w:color w:val="000000" w:themeColor="text1"/>
          <w:kern w:val="0"/>
          <w:sz w:val="24"/>
          <w:highlight w:val="yellow"/>
          <w14:textFill>
            <w14:solidFill>
              <w14:schemeClr w14:val="tx1"/>
            </w14:solidFill>
          </w14:textFill>
        </w:rPr>
        <w:t>人工智能通识课1学分</w:t>
      </w:r>
      <w:r>
        <w:rPr>
          <w:rFonts w:hint="eastAsia" w:ascii="宋体" w:hAnsi="宋体" w:cs="仿宋_GB2312"/>
          <w:color w:val="000000" w:themeColor="text1"/>
          <w:kern w:val="0"/>
          <w:sz w:val="24"/>
          <w:highlight w:val="yellow"/>
          <w14:textFill>
            <w14:solidFill>
              <w14:schemeClr w14:val="tx1"/>
            </w14:solidFill>
          </w14:textFill>
        </w:rPr>
        <w:t>。</w:t>
      </w:r>
    </w:p>
    <w:p w14:paraId="38221E49">
      <w:p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hint="eastAsia" w:ascii="宋体" w:hAnsi="宋体" w:cs="仿宋_GB2312"/>
          <w:b/>
          <w:color w:val="000000" w:themeColor="text1"/>
          <w:kern w:val="0"/>
          <w:sz w:val="24"/>
          <w14:textFill>
            <w14:solidFill>
              <w14:schemeClr w14:val="tx1"/>
            </w14:solidFill>
          </w14:textFill>
        </w:rPr>
        <w:t>2）专业基础课程</w:t>
      </w:r>
      <w:r>
        <w:rPr>
          <w:rFonts w:hint="eastAsia" w:ascii="宋体" w:hAnsi="宋体" w:cs="仿宋_GB2312"/>
          <w:b/>
          <w:color w:val="000000" w:themeColor="text1"/>
          <w:kern w:val="0"/>
          <w:sz w:val="24"/>
          <w:highlight w:val="yellow"/>
          <w14:textFill>
            <w14:solidFill>
              <w14:schemeClr w14:val="tx1"/>
            </w14:solidFill>
          </w14:textFill>
        </w:rPr>
        <w:t>（</w:t>
      </w:r>
      <w:bookmarkStart w:id="0" w:name="_Hlk102052570"/>
      <w:r>
        <w:rPr>
          <w:rFonts w:hint="eastAsia"/>
          <w:b/>
          <w:color w:val="000000" w:themeColor="text1"/>
          <w:highlight w:val="yellow"/>
          <w14:textFill>
            <w14:solidFill>
              <w14:schemeClr w14:val="tx1"/>
            </w14:solidFill>
          </w14:textFill>
        </w:rPr>
        <w:t>≥</w:t>
      </w:r>
      <w:r>
        <w:rPr>
          <w:rFonts w:hint="eastAsia"/>
          <w:b/>
          <w:color w:val="000000" w:themeColor="text1"/>
          <w:sz w:val="24"/>
          <w:highlight w:val="yellow"/>
          <w14:textFill>
            <w14:solidFill>
              <w14:schemeClr w14:val="tx1"/>
            </w14:solidFill>
          </w14:textFill>
        </w:rPr>
        <w:t>1</w:t>
      </w:r>
      <w:r>
        <w:rPr>
          <w:b/>
          <w:color w:val="000000" w:themeColor="text1"/>
          <w:sz w:val="24"/>
          <w:highlight w:val="yellow"/>
          <w14:textFill>
            <w14:solidFill>
              <w14:schemeClr w14:val="tx1"/>
            </w14:solidFill>
          </w14:textFill>
        </w:rPr>
        <w:t>0</w:t>
      </w:r>
      <w:r>
        <w:rPr>
          <w:rFonts w:hint="eastAsia"/>
          <w:b/>
          <w:color w:val="000000" w:themeColor="text1"/>
          <w:sz w:val="24"/>
          <w:highlight w:val="yellow"/>
          <w14:textFill>
            <w14:solidFill>
              <w14:schemeClr w14:val="tx1"/>
            </w14:solidFill>
          </w14:textFill>
        </w:rPr>
        <w:t>学分</w:t>
      </w:r>
      <w:bookmarkEnd w:id="0"/>
      <w:r>
        <w:rPr>
          <w:rFonts w:hint="eastAsia"/>
          <w:b/>
          <w:color w:val="000000" w:themeColor="text1"/>
          <w:sz w:val="24"/>
          <w:highlight w:val="yellow"/>
          <w14:textFill>
            <w14:solidFill>
              <w14:schemeClr w14:val="tx1"/>
            </w14:solidFill>
          </w14:textFill>
        </w:rPr>
        <w:t>）</w:t>
      </w:r>
    </w:p>
    <w:p w14:paraId="4D72E8DE">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包含：数学类课程、专业类基础课程。</w:t>
      </w:r>
    </w:p>
    <w:p w14:paraId="7C7B43D2">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ascii="宋体" w:hAnsi="宋体" w:cs="仿宋_GB2312"/>
          <w:bCs/>
          <w:color w:val="000000" w:themeColor="text1"/>
          <w:kern w:val="0"/>
          <w:sz w:val="24"/>
          <w14:textFill>
            <w14:solidFill>
              <w14:schemeClr w14:val="tx1"/>
            </w14:solidFill>
          </w14:textFill>
        </w:rPr>
        <w:fldChar w:fldCharType="begin"/>
      </w:r>
      <w:r>
        <w:rPr>
          <w:rFonts w:ascii="宋体" w:hAnsi="宋体" w:cs="仿宋_GB2312"/>
          <w:bCs/>
          <w:color w:val="000000" w:themeColor="text1"/>
          <w:kern w:val="0"/>
          <w:sz w:val="24"/>
          <w14:textFill>
            <w14:solidFill>
              <w14:schemeClr w14:val="tx1"/>
            </w14:solidFill>
          </w14:textFill>
        </w:rPr>
        <w:instrText xml:space="preserve"> </w:instrText>
      </w:r>
      <w:r>
        <w:rPr>
          <w:rFonts w:hint="eastAsia" w:ascii="宋体" w:hAnsi="宋体" w:cs="仿宋_GB2312"/>
          <w:bCs/>
          <w:color w:val="000000" w:themeColor="text1"/>
          <w:kern w:val="0"/>
          <w:sz w:val="24"/>
          <w14:textFill>
            <w14:solidFill>
              <w14:schemeClr w14:val="tx1"/>
            </w14:solidFill>
          </w14:textFill>
        </w:rPr>
        <w:instrText xml:space="preserve">= 1 \* GB3</w:instrText>
      </w:r>
      <w:r>
        <w:rPr>
          <w:rFonts w:ascii="宋体" w:hAnsi="宋体" w:cs="仿宋_GB2312"/>
          <w:bCs/>
          <w:color w:val="000000" w:themeColor="text1"/>
          <w:kern w:val="0"/>
          <w:sz w:val="24"/>
          <w14:textFill>
            <w14:solidFill>
              <w14:schemeClr w14:val="tx1"/>
            </w14:solidFill>
          </w14:textFill>
        </w:rPr>
        <w:instrText xml:space="preserve"> </w:instrText>
      </w:r>
      <w:r>
        <w:rPr>
          <w:rFonts w:ascii="宋体" w:hAnsi="宋体" w:cs="仿宋_GB2312"/>
          <w:bCs/>
          <w:color w:val="000000" w:themeColor="text1"/>
          <w:kern w:val="0"/>
          <w:sz w:val="24"/>
          <w14:textFill>
            <w14:solidFill>
              <w14:schemeClr w14:val="tx1"/>
            </w14:solidFill>
          </w14:textFill>
        </w:rPr>
        <w:fldChar w:fldCharType="separate"/>
      </w:r>
      <w:r>
        <w:rPr>
          <w:rFonts w:hint="eastAsia" w:ascii="宋体" w:hAnsi="宋体" w:cs="仿宋_GB2312"/>
          <w:bCs/>
          <w:color w:val="000000" w:themeColor="text1"/>
          <w:kern w:val="0"/>
          <w:sz w:val="24"/>
          <w14:textFill>
            <w14:solidFill>
              <w14:schemeClr w14:val="tx1"/>
            </w14:solidFill>
          </w14:textFill>
        </w:rPr>
        <w:t>①</w:t>
      </w:r>
      <w:r>
        <w:rPr>
          <w:rFonts w:ascii="宋体" w:hAnsi="宋体" w:cs="仿宋_GB2312"/>
          <w:bCs/>
          <w:color w:val="000000" w:themeColor="text1"/>
          <w:kern w:val="0"/>
          <w:sz w:val="24"/>
          <w14:textFill>
            <w14:solidFill>
              <w14:schemeClr w14:val="tx1"/>
            </w14:solidFill>
          </w14:textFill>
        </w:rPr>
        <w:fldChar w:fldCharType="end"/>
      </w:r>
      <w:r>
        <w:rPr>
          <w:rFonts w:hint="eastAsia" w:ascii="宋体" w:hAnsi="宋体" w:cs="仿宋_GB2312"/>
          <w:color w:val="000000" w:themeColor="text1"/>
          <w:kern w:val="0"/>
          <w:sz w:val="24"/>
          <w14:textFill>
            <w14:solidFill>
              <w14:schemeClr w14:val="tx1"/>
            </w14:solidFill>
          </w14:textFill>
        </w:rPr>
        <w:t>数学课程：</w:t>
      </w:r>
      <w:r>
        <w:rPr>
          <w:rFonts w:ascii="宋体" w:hAnsi="宋体" w:cs="仿宋_GB2312"/>
          <w:color w:val="000000" w:themeColor="text1"/>
          <w:kern w:val="0"/>
          <w:sz w:val="24"/>
          <w14:textFill>
            <w14:solidFill>
              <w14:schemeClr w14:val="tx1"/>
            </w14:solidFill>
          </w14:textFill>
        </w:rPr>
        <w:t>数学类基础课程指由</w:t>
      </w:r>
      <w:r>
        <w:rPr>
          <w:rFonts w:hint="eastAsia" w:ascii="宋体" w:hAnsi="宋体" w:cs="仿宋_GB2312"/>
          <w:color w:val="000000" w:themeColor="text1"/>
          <w:kern w:val="0"/>
          <w:sz w:val="24"/>
          <w14:textFill>
            <w14:solidFill>
              <w14:schemeClr w14:val="tx1"/>
            </w14:solidFill>
          </w14:textFill>
        </w:rPr>
        <w:t>数理学院</w:t>
      </w:r>
      <w:r>
        <w:rPr>
          <w:rFonts w:ascii="宋体" w:hAnsi="宋体" w:cs="仿宋_GB2312"/>
          <w:color w:val="000000" w:themeColor="text1"/>
          <w:kern w:val="0"/>
          <w:sz w:val="24"/>
          <w14:textFill>
            <w14:solidFill>
              <w14:schemeClr w14:val="tx1"/>
            </w14:solidFill>
          </w14:textFill>
        </w:rPr>
        <w:t>针对研究生开设的数学类课程。</w:t>
      </w:r>
    </w:p>
    <w:p w14:paraId="21608B45">
      <w:pPr>
        <w:autoSpaceDE w:val="0"/>
        <w:autoSpaceDN w:val="0"/>
        <w:adjustRightInd w:val="0"/>
        <w:spacing w:line="360" w:lineRule="auto"/>
        <w:ind w:firstLine="480" w:firstLineChars="200"/>
        <w:jc w:val="left"/>
        <w:rPr>
          <w:rFonts w:ascii="宋体" w:hAnsi="宋体" w:cs="仿宋_GB2312"/>
          <w:b/>
          <w:color w:val="000000" w:themeColor="text1"/>
          <w:kern w:val="0"/>
          <w:sz w:val="24"/>
          <w:highlight w:val="yellow"/>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②专业类基础课程：至少有一门指南目录内核心课程（在课程设置中标明），可按一级学科范围内相关的二级学科进行拓宽。</w:t>
      </w:r>
      <w:r>
        <w:rPr>
          <w:rFonts w:hint="eastAsia" w:ascii="宋体" w:hAnsi="宋体" w:cs="宋体"/>
          <w:b/>
          <w:color w:val="000000" w:themeColor="text1"/>
          <w:kern w:val="0"/>
          <w:sz w:val="24"/>
          <w:highlight w:val="yellow"/>
          <w14:textFill>
            <w14:solidFill>
              <w14:schemeClr w14:val="tx1"/>
            </w14:solidFill>
          </w14:textFill>
        </w:rPr>
        <w:t>根据不同学科专业特点，至少设置一门AI</w:t>
      </w:r>
      <w:r>
        <w:rPr>
          <w:rFonts w:ascii="宋体" w:hAnsi="宋体" w:cs="宋体"/>
          <w:b/>
          <w:color w:val="000000" w:themeColor="text1"/>
          <w:kern w:val="0"/>
          <w:sz w:val="24"/>
          <w:highlight w:val="yellow"/>
          <w14:textFill>
            <w14:solidFill>
              <w14:schemeClr w14:val="tx1"/>
            </w14:solidFill>
          </w14:textFill>
        </w:rPr>
        <w:t>+</w:t>
      </w:r>
      <w:r>
        <w:rPr>
          <w:rFonts w:hint="eastAsia" w:ascii="宋体" w:hAnsi="宋体" w:cs="宋体"/>
          <w:b/>
          <w:color w:val="000000" w:themeColor="text1"/>
          <w:kern w:val="0"/>
          <w:sz w:val="24"/>
          <w:highlight w:val="yellow"/>
          <w14:textFill>
            <w14:solidFill>
              <w14:schemeClr w14:val="tx1"/>
            </w14:solidFill>
          </w14:textFill>
        </w:rPr>
        <w:t>专业课程（在课程设置中标明），推动人工智能与本学科领域的深度融合</w:t>
      </w:r>
      <w:r>
        <w:rPr>
          <w:rFonts w:hint="eastAsia" w:ascii="宋体" w:hAnsi="宋体" w:cs="宋体"/>
          <w:b/>
          <w:color w:val="000000" w:themeColor="text1"/>
          <w:kern w:val="0"/>
          <w:sz w:val="24"/>
          <w:highlight w:val="yellow"/>
          <w:lang w:eastAsia="zh-CN"/>
          <w14:textFill>
            <w14:solidFill>
              <w14:schemeClr w14:val="tx1"/>
            </w14:solidFill>
          </w14:textFill>
        </w:rPr>
        <w:t>；</w:t>
      </w:r>
      <w:r>
        <w:rPr>
          <w:rFonts w:hint="eastAsia" w:ascii="宋体" w:hAnsi="宋体" w:cs="宋体"/>
          <w:b/>
          <w:color w:val="000000" w:themeColor="text1"/>
          <w:kern w:val="0"/>
          <w:sz w:val="24"/>
          <w:highlight w:val="yellow"/>
          <w:lang w:val="en-US" w:eastAsia="zh-CN"/>
          <w14:textFill>
            <w14:solidFill>
              <w14:schemeClr w14:val="tx1"/>
            </w14:solidFill>
          </w14:textFill>
        </w:rPr>
        <w:t>鼓励将核心课程建设成为AI+专业课程</w:t>
      </w:r>
      <w:r>
        <w:rPr>
          <w:rFonts w:hint="eastAsia" w:ascii="宋体" w:hAnsi="宋体" w:cs="宋体"/>
          <w:b/>
          <w:color w:val="000000" w:themeColor="text1"/>
          <w:kern w:val="0"/>
          <w:sz w:val="24"/>
          <w:highlight w:val="yellow"/>
          <w14:textFill>
            <w14:solidFill>
              <w14:schemeClr w14:val="tx1"/>
            </w14:solidFill>
          </w14:textFill>
        </w:rPr>
        <w:t>。</w:t>
      </w:r>
    </w:p>
    <w:p w14:paraId="0D6CF77E">
      <w:p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ascii="宋体" w:hAnsi="宋体" w:cs="仿宋_GB2312"/>
          <w:b/>
          <w:color w:val="000000" w:themeColor="text1"/>
          <w:kern w:val="0"/>
          <w:sz w:val="24"/>
          <w14:textFill>
            <w14:solidFill>
              <w14:schemeClr w14:val="tx1"/>
            </w14:solidFill>
          </w14:textFill>
        </w:rPr>
        <w:t>3</w:t>
      </w:r>
      <w:r>
        <w:rPr>
          <w:rFonts w:hint="eastAsia" w:ascii="宋体" w:hAnsi="宋体" w:cs="仿宋_GB2312"/>
          <w:b/>
          <w:color w:val="000000" w:themeColor="text1"/>
          <w:kern w:val="0"/>
          <w:sz w:val="24"/>
          <w14:textFill>
            <w14:solidFill>
              <w14:schemeClr w14:val="tx1"/>
            </w14:solidFill>
          </w14:textFill>
        </w:rPr>
        <w:t>）选修课程</w:t>
      </w:r>
    </w:p>
    <w:p w14:paraId="7225E98E">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包括：专业技术课程、专业特色课程和公共选修课程。</w:t>
      </w:r>
    </w:p>
    <w:p w14:paraId="2E66F40E">
      <w:pPr>
        <w:autoSpaceDE w:val="0"/>
        <w:autoSpaceDN w:val="0"/>
        <w:adjustRightInd w:val="0"/>
        <w:spacing w:line="360" w:lineRule="auto"/>
        <w:ind w:firstLine="480" w:firstLineChars="200"/>
        <w:jc w:val="left"/>
        <w:rPr>
          <w:rFonts w:ascii="宋体" w:hAnsi="宋体" w:cs="宋体"/>
          <w:color w:val="000000" w:themeColor="text1"/>
          <w:kern w:val="0"/>
          <w:sz w:val="24"/>
          <w:highlight w:val="yellow"/>
          <w:lang w:bidi="ar"/>
          <w14:textFill>
            <w14:solidFill>
              <w14:schemeClr w14:val="tx1"/>
            </w14:solidFill>
          </w14:textFill>
        </w:rPr>
      </w:pPr>
      <w:r>
        <w:rPr>
          <w:rFonts w:ascii="宋体" w:hAnsi="宋体" w:cs="仿宋_GB2312"/>
          <w:bCs/>
          <w:color w:val="000000" w:themeColor="text1"/>
          <w:kern w:val="0"/>
          <w:sz w:val="24"/>
          <w14:textFill>
            <w14:solidFill>
              <w14:schemeClr w14:val="tx1"/>
            </w14:solidFill>
          </w14:textFill>
        </w:rPr>
        <w:fldChar w:fldCharType="begin"/>
      </w:r>
      <w:r>
        <w:rPr>
          <w:rFonts w:ascii="宋体" w:hAnsi="宋体" w:cs="仿宋_GB2312"/>
          <w:bCs/>
          <w:color w:val="000000" w:themeColor="text1"/>
          <w:kern w:val="0"/>
          <w:sz w:val="24"/>
          <w14:textFill>
            <w14:solidFill>
              <w14:schemeClr w14:val="tx1"/>
            </w14:solidFill>
          </w14:textFill>
        </w:rPr>
        <w:instrText xml:space="preserve"> </w:instrText>
      </w:r>
      <w:r>
        <w:rPr>
          <w:rFonts w:hint="eastAsia" w:ascii="宋体" w:hAnsi="宋体" w:cs="仿宋_GB2312"/>
          <w:bCs/>
          <w:color w:val="000000" w:themeColor="text1"/>
          <w:kern w:val="0"/>
          <w:sz w:val="24"/>
          <w14:textFill>
            <w14:solidFill>
              <w14:schemeClr w14:val="tx1"/>
            </w14:solidFill>
          </w14:textFill>
        </w:rPr>
        <w:instrText xml:space="preserve">= 1 \* GB3</w:instrText>
      </w:r>
      <w:r>
        <w:rPr>
          <w:rFonts w:ascii="宋体" w:hAnsi="宋体" w:cs="仿宋_GB2312"/>
          <w:bCs/>
          <w:color w:val="000000" w:themeColor="text1"/>
          <w:kern w:val="0"/>
          <w:sz w:val="24"/>
          <w14:textFill>
            <w14:solidFill>
              <w14:schemeClr w14:val="tx1"/>
            </w14:solidFill>
          </w14:textFill>
        </w:rPr>
        <w:instrText xml:space="preserve"> </w:instrText>
      </w:r>
      <w:r>
        <w:rPr>
          <w:rFonts w:ascii="宋体" w:hAnsi="宋体" w:cs="仿宋_GB2312"/>
          <w:bCs/>
          <w:color w:val="000000" w:themeColor="text1"/>
          <w:kern w:val="0"/>
          <w:sz w:val="24"/>
          <w14:textFill>
            <w14:solidFill>
              <w14:schemeClr w14:val="tx1"/>
            </w14:solidFill>
          </w14:textFill>
        </w:rPr>
        <w:fldChar w:fldCharType="separate"/>
      </w:r>
      <w:r>
        <w:rPr>
          <w:rFonts w:hint="eastAsia" w:ascii="宋体" w:hAnsi="宋体" w:cs="仿宋_GB2312"/>
          <w:bCs/>
          <w:color w:val="000000" w:themeColor="text1"/>
          <w:kern w:val="0"/>
          <w:sz w:val="24"/>
          <w14:textFill>
            <w14:solidFill>
              <w14:schemeClr w14:val="tx1"/>
            </w14:solidFill>
          </w14:textFill>
        </w:rPr>
        <w:t>①</w:t>
      </w:r>
      <w:r>
        <w:rPr>
          <w:rFonts w:ascii="宋体" w:hAnsi="宋体" w:cs="仿宋_GB2312"/>
          <w:bCs/>
          <w:color w:val="000000" w:themeColor="text1"/>
          <w:kern w:val="0"/>
          <w:sz w:val="24"/>
          <w14:textFill>
            <w14:solidFill>
              <w14:schemeClr w14:val="tx1"/>
            </w14:solidFill>
          </w14:textFill>
        </w:rPr>
        <w:fldChar w:fldCharType="end"/>
      </w:r>
      <w:r>
        <w:rPr>
          <w:rFonts w:hint="eastAsia" w:ascii="宋体" w:hAnsi="宋体" w:cs="仿宋_GB2312"/>
          <w:bCs/>
          <w:color w:val="000000" w:themeColor="text1"/>
          <w:kern w:val="0"/>
          <w:sz w:val="24"/>
          <w14:textFill>
            <w14:solidFill>
              <w14:schemeClr w14:val="tx1"/>
            </w14:solidFill>
          </w14:textFill>
        </w:rPr>
        <w:t>专业技术课程：</w:t>
      </w:r>
      <w:r>
        <w:rPr>
          <w:rFonts w:hint="eastAsia" w:ascii="宋体" w:hAnsi="宋体" w:cs="宋体"/>
          <w:color w:val="000000" w:themeColor="text1"/>
          <w:kern w:val="0"/>
          <w:sz w:val="24"/>
          <w:lang w:bidi="ar"/>
          <w14:textFill>
            <w14:solidFill>
              <w14:schemeClr w14:val="tx1"/>
            </w14:solidFill>
          </w14:textFill>
        </w:rPr>
        <w:t>是指导师（组）依据学生培养、研究项目需求制定教学内容/学习任务的课程，制定个性化学习目标、任务、考核方式，增加人工智能赋能学科发展内容。具体课程名称及学分，由院部根据本专业特色确定。</w:t>
      </w:r>
      <w:r>
        <w:rPr>
          <w:rFonts w:hint="eastAsia" w:ascii="宋体" w:hAnsi="宋体" w:cs="宋体"/>
          <w:b/>
          <w:color w:val="000000" w:themeColor="text1"/>
          <w:kern w:val="0"/>
          <w:sz w:val="24"/>
          <w:highlight w:val="yellow"/>
          <w:lang w:bidi="ar"/>
          <w14:textFill>
            <w14:solidFill>
              <w14:schemeClr w14:val="tx1"/>
            </w14:solidFill>
          </w14:textFill>
        </w:rPr>
        <w:t>至少需要涵盖一门《研究生学科交叉课程目录》中学科交叉课程。同时，每个学科需结合自身特色设置1门以上科教融汇课程（在课程设置中标明），推动重大科研项目、高水平科研成果和前沿科研问题转化为课程内容，形成科研反哺教学机制；鼓励高水平科研团队（国家级项目负责人等）主讲相关课程。</w:t>
      </w:r>
    </w:p>
    <w:p w14:paraId="47451770">
      <w:pPr>
        <w:autoSpaceDE w:val="0"/>
        <w:autoSpaceDN w:val="0"/>
        <w:adjustRightInd w:val="0"/>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②专业</w:t>
      </w:r>
      <w:r>
        <w:rPr>
          <w:rFonts w:hint="eastAsia" w:ascii="宋体" w:hAnsi="宋体" w:cs="仿宋_GB2312"/>
          <w:bCs/>
          <w:color w:val="000000" w:themeColor="text1"/>
          <w:kern w:val="0"/>
          <w:sz w:val="24"/>
          <w14:textFill>
            <w14:solidFill>
              <w14:schemeClr w14:val="tx1"/>
            </w14:solidFill>
          </w14:textFill>
        </w:rPr>
        <w:t>特色课程</w:t>
      </w:r>
      <w:r>
        <w:rPr>
          <w:rFonts w:hint="eastAsia" w:ascii="宋体" w:hAnsi="宋体" w:cs="仿宋_GB2312"/>
          <w:bCs/>
          <w:color w:val="000000" w:themeColor="text1"/>
          <w:kern w:val="0"/>
          <w:sz w:val="24"/>
          <w:highlight w:val="yellow"/>
          <w14:textFill>
            <w14:solidFill>
              <w14:schemeClr w14:val="tx1"/>
            </w14:solidFill>
          </w14:textFill>
        </w:rPr>
        <w:t>（</w:t>
      </w:r>
      <w:r>
        <w:rPr>
          <w:rFonts w:ascii="宋体" w:hAnsi="宋体" w:cs="仿宋_GB2312"/>
          <w:bCs/>
          <w:color w:val="000000" w:themeColor="text1"/>
          <w:kern w:val="0"/>
          <w:sz w:val="24"/>
          <w:highlight w:val="yellow"/>
          <w14:textFill>
            <w14:solidFill>
              <w14:schemeClr w14:val="tx1"/>
            </w14:solidFill>
          </w14:textFill>
        </w:rPr>
        <w:t>4</w:t>
      </w:r>
      <w:r>
        <w:rPr>
          <w:rFonts w:hint="eastAsia" w:ascii="宋体" w:hAnsi="宋体" w:cs="仿宋_GB2312"/>
          <w:bCs/>
          <w:color w:val="000000" w:themeColor="text1"/>
          <w:kern w:val="0"/>
          <w:sz w:val="24"/>
          <w:highlight w:val="yellow"/>
          <w14:textFill>
            <w14:solidFill>
              <w14:schemeClr w14:val="tx1"/>
            </w14:solidFill>
          </w14:textFill>
        </w:rPr>
        <w:t>学分）</w:t>
      </w:r>
      <w:r>
        <w:rPr>
          <w:rFonts w:hint="eastAsia" w:ascii="宋体" w:hAnsi="宋体" w:cs="仿宋_GB2312"/>
          <w:bCs/>
          <w:color w:val="000000" w:themeColor="text1"/>
          <w:kern w:val="0"/>
          <w:sz w:val="24"/>
          <w14:textFill>
            <w14:solidFill>
              <w14:schemeClr w14:val="tx1"/>
            </w14:solidFill>
          </w14:textFill>
        </w:rPr>
        <w:t>：结合学科特色，设置学科前沿、科研实践等课程。</w:t>
      </w:r>
    </w:p>
    <w:p w14:paraId="0D4F48D7">
      <w:pPr>
        <w:autoSpaceDE w:val="0"/>
        <w:autoSpaceDN w:val="0"/>
        <w:adjustRightInd w:val="0"/>
        <w:spacing w:line="360" w:lineRule="auto"/>
        <w:ind w:firstLine="480" w:firstLineChars="200"/>
        <w:jc w:val="left"/>
        <w:rPr>
          <w:rFonts w:ascii="宋体" w:hAnsi="宋体" w:cs="宋体"/>
          <w:b/>
          <w:color w:val="000000" w:themeColor="text1"/>
          <w:kern w:val="0"/>
          <w:sz w:val="24"/>
          <w:highlight w:val="yellow"/>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③公共选修课程：见《研究生公共选修课程目录》，包含思哲类、计算机类、经管类、数学类、外语类、写作及检索类、创新类、心理类、人文素养类、体育健身类等，体现“五育并举”。</w:t>
      </w:r>
      <w:r>
        <w:rPr>
          <w:rFonts w:hint="eastAsia" w:ascii="宋体" w:hAnsi="宋体" w:cs="仿宋_GB2312"/>
          <w:b/>
          <w:bCs/>
          <w:color w:val="000000" w:themeColor="text1"/>
          <w:kern w:val="0"/>
          <w:sz w:val="24"/>
          <w:highlight w:val="yellow"/>
          <w14:textFill>
            <w14:solidFill>
              <w14:schemeClr w14:val="tx1"/>
            </w14:solidFill>
          </w14:textFill>
        </w:rPr>
        <w:t>需涵盖至少1学分创新创业实践，</w:t>
      </w:r>
      <w:r>
        <w:rPr>
          <w:rFonts w:hint="eastAsia" w:ascii="宋体" w:hAnsi="宋体" w:cs="仿宋_GB2312"/>
          <w:color w:val="000000" w:themeColor="text1"/>
          <w:kern w:val="0"/>
          <w:sz w:val="24"/>
          <w:highlight w:val="yellow"/>
          <w14:textFill>
            <w14:solidFill>
              <w14:schemeClr w14:val="tx1"/>
            </w14:solidFill>
          </w14:textFill>
        </w:rPr>
        <w:t>各院部应制定明确的任务要求和考核指标。</w:t>
      </w:r>
    </w:p>
    <w:p w14:paraId="5E5519EF">
      <w:pPr>
        <w:spacing w:line="360" w:lineRule="auto"/>
        <w:jc w:val="center"/>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**学术学位硕士研究生课程及学分设置</w:t>
      </w:r>
    </w:p>
    <w:tbl>
      <w:tblPr>
        <w:tblStyle w:val="5"/>
        <w:tblW w:w="855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58"/>
        <w:gridCol w:w="1110"/>
        <w:gridCol w:w="1134"/>
        <w:gridCol w:w="3686"/>
        <w:gridCol w:w="708"/>
        <w:gridCol w:w="709"/>
        <w:gridCol w:w="851"/>
      </w:tblGrid>
      <w:tr w14:paraId="489239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1468" w:type="dxa"/>
            <w:gridSpan w:val="2"/>
          </w:tcPr>
          <w:p w14:paraId="1EEEF734">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课程类别</w:t>
            </w:r>
          </w:p>
          <w:p w14:paraId="28798582">
            <w:pPr>
              <w:pStyle w:val="8"/>
              <w:spacing w:line="240" w:lineRule="auto"/>
              <w:rPr>
                <w:color w:val="000000" w:themeColor="text1"/>
                <w:sz w:val="18"/>
                <w:szCs w:val="18"/>
                <w14:textFill>
                  <w14:solidFill>
                    <w14:schemeClr w14:val="tx1"/>
                  </w14:solidFill>
                </w14:textFill>
              </w:rPr>
            </w:pPr>
            <w:r>
              <w:rPr>
                <w:color w:val="000000" w:themeColor="text1"/>
                <w14:textFill>
                  <w14:solidFill>
                    <w14:schemeClr w14:val="tx1"/>
                  </w14:solidFill>
                </w14:textFill>
              </w:rPr>
              <w:t>≥32学分</w:t>
            </w:r>
          </w:p>
        </w:tc>
        <w:tc>
          <w:tcPr>
            <w:tcW w:w="1134" w:type="dxa"/>
            <w:vAlign w:val="center"/>
          </w:tcPr>
          <w:p w14:paraId="795134AB">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课程编号</w:t>
            </w:r>
          </w:p>
        </w:tc>
        <w:tc>
          <w:tcPr>
            <w:tcW w:w="3686" w:type="dxa"/>
            <w:vAlign w:val="center"/>
          </w:tcPr>
          <w:p w14:paraId="24D3B8A6">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课程名称（中英文）</w:t>
            </w:r>
          </w:p>
        </w:tc>
        <w:tc>
          <w:tcPr>
            <w:tcW w:w="708" w:type="dxa"/>
            <w:vAlign w:val="center"/>
          </w:tcPr>
          <w:p w14:paraId="164769C1">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学分</w:t>
            </w:r>
          </w:p>
        </w:tc>
        <w:tc>
          <w:tcPr>
            <w:tcW w:w="709" w:type="dxa"/>
            <w:vAlign w:val="center"/>
          </w:tcPr>
          <w:p w14:paraId="6A3DEC68">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学期</w:t>
            </w:r>
          </w:p>
        </w:tc>
        <w:tc>
          <w:tcPr>
            <w:tcW w:w="851" w:type="dxa"/>
            <w:vAlign w:val="center"/>
          </w:tcPr>
          <w:p w14:paraId="3645437F">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备注</w:t>
            </w:r>
          </w:p>
        </w:tc>
      </w:tr>
      <w:tr w14:paraId="051C84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358" w:type="dxa"/>
            <w:vMerge w:val="restart"/>
            <w:vAlign w:val="center"/>
          </w:tcPr>
          <w:p w14:paraId="62F5D35F">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必修课程</w:t>
            </w:r>
          </w:p>
        </w:tc>
        <w:tc>
          <w:tcPr>
            <w:tcW w:w="1110" w:type="dxa"/>
            <w:vMerge w:val="restart"/>
            <w:vAlign w:val="center"/>
          </w:tcPr>
          <w:p w14:paraId="3CC45332">
            <w:pPr>
              <w:pStyle w:val="8"/>
              <w:spacing w:line="240" w:lineRule="auto"/>
              <w:rPr>
                <w:color w:val="000000" w:themeColor="text1"/>
                <w:sz w:val="18"/>
                <w:szCs w:val="18"/>
                <w:highlight w:val="yellow"/>
                <w14:textFill>
                  <w14:solidFill>
                    <w14:schemeClr w14:val="tx1"/>
                  </w14:solidFill>
                </w14:textFill>
              </w:rPr>
            </w:pPr>
            <w:r>
              <w:rPr>
                <w:color w:val="000000" w:themeColor="text1"/>
                <w:sz w:val="18"/>
                <w:szCs w:val="18"/>
                <w:highlight w:val="yellow"/>
                <w14:textFill>
                  <w14:solidFill>
                    <w14:schemeClr w14:val="tx1"/>
                  </w14:solidFill>
                </w14:textFill>
              </w:rPr>
              <w:t>公共</w:t>
            </w:r>
            <w:r>
              <w:rPr>
                <w:rFonts w:hint="eastAsia"/>
                <w:color w:val="000000" w:themeColor="text1"/>
                <w:sz w:val="18"/>
                <w:szCs w:val="18"/>
                <w:highlight w:val="yellow"/>
                <w14:textFill>
                  <w14:solidFill>
                    <w14:schemeClr w14:val="tx1"/>
                  </w14:solidFill>
                </w14:textFill>
              </w:rPr>
              <w:t>基础</w:t>
            </w:r>
          </w:p>
          <w:p w14:paraId="16109E7E">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=7学分</w:t>
            </w:r>
          </w:p>
        </w:tc>
        <w:tc>
          <w:tcPr>
            <w:tcW w:w="1134" w:type="dxa"/>
            <w:vAlign w:val="center"/>
          </w:tcPr>
          <w:p w14:paraId="59C36C70">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10M5001</w:t>
            </w:r>
          </w:p>
        </w:tc>
        <w:tc>
          <w:tcPr>
            <w:tcW w:w="3686" w:type="dxa"/>
            <w:vAlign w:val="center"/>
          </w:tcPr>
          <w:p w14:paraId="0CD0F322">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中国特色社会主义理论与实践研究</w:t>
            </w:r>
          </w:p>
          <w:p w14:paraId="4286838D">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Socialism with Chinese Characteristics: Theory and Practice</w:t>
            </w:r>
          </w:p>
        </w:tc>
        <w:tc>
          <w:tcPr>
            <w:tcW w:w="708" w:type="dxa"/>
            <w:vAlign w:val="center"/>
          </w:tcPr>
          <w:p w14:paraId="22BF42C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709" w:type="dxa"/>
            <w:vAlign w:val="center"/>
          </w:tcPr>
          <w:p w14:paraId="53FE1A78">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33E516E6">
            <w:pPr>
              <w:pStyle w:val="8"/>
              <w:spacing w:line="240" w:lineRule="auto"/>
              <w:rPr>
                <w:color w:val="000000" w:themeColor="text1"/>
                <w:sz w:val="18"/>
                <w:szCs w:val="18"/>
                <w14:textFill>
                  <w14:solidFill>
                    <w14:schemeClr w14:val="tx1"/>
                  </w14:solidFill>
                </w14:textFill>
              </w:rPr>
            </w:pPr>
          </w:p>
        </w:tc>
      </w:tr>
      <w:tr w14:paraId="37B6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358" w:type="dxa"/>
            <w:vMerge w:val="continue"/>
            <w:vAlign w:val="center"/>
          </w:tcPr>
          <w:p w14:paraId="160A76DA">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42A22AB1">
            <w:pPr>
              <w:pStyle w:val="8"/>
              <w:spacing w:line="240" w:lineRule="auto"/>
              <w:rPr>
                <w:color w:val="000000" w:themeColor="text1"/>
                <w:sz w:val="18"/>
                <w:szCs w:val="18"/>
                <w14:textFill>
                  <w14:solidFill>
                    <w14:schemeClr w14:val="tx1"/>
                  </w14:solidFill>
                </w14:textFill>
              </w:rPr>
            </w:pPr>
          </w:p>
        </w:tc>
        <w:tc>
          <w:tcPr>
            <w:tcW w:w="1134" w:type="dxa"/>
            <w:vAlign w:val="center"/>
          </w:tcPr>
          <w:p w14:paraId="207949FA">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10M5002</w:t>
            </w:r>
          </w:p>
        </w:tc>
        <w:tc>
          <w:tcPr>
            <w:tcW w:w="3686" w:type="dxa"/>
            <w:vAlign w:val="center"/>
          </w:tcPr>
          <w:p w14:paraId="1FF03FB2">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自然辩证法概论</w:t>
            </w:r>
          </w:p>
          <w:p w14:paraId="48917FAB">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Introduction to Nature Dialectics</w:t>
            </w:r>
          </w:p>
        </w:tc>
        <w:tc>
          <w:tcPr>
            <w:tcW w:w="708" w:type="dxa"/>
            <w:vAlign w:val="center"/>
          </w:tcPr>
          <w:p w14:paraId="21E14FA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709" w:type="dxa"/>
            <w:vAlign w:val="center"/>
          </w:tcPr>
          <w:p w14:paraId="2F6CA0D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6DAD993C">
            <w:pPr>
              <w:pStyle w:val="8"/>
              <w:spacing w:line="240" w:lineRule="auto"/>
              <w:rPr>
                <w:color w:val="000000" w:themeColor="text1"/>
                <w:sz w:val="18"/>
                <w:szCs w:val="18"/>
                <w14:textFill>
                  <w14:solidFill>
                    <w14:schemeClr w14:val="tx1"/>
                  </w14:solidFill>
                </w14:textFill>
              </w:rPr>
            </w:pPr>
          </w:p>
        </w:tc>
      </w:tr>
      <w:tr w14:paraId="27CAF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358" w:type="dxa"/>
            <w:vMerge w:val="continue"/>
            <w:vAlign w:val="center"/>
          </w:tcPr>
          <w:p w14:paraId="4B207F2B">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2D0D36A6">
            <w:pPr>
              <w:pStyle w:val="8"/>
              <w:spacing w:line="240" w:lineRule="auto"/>
              <w:rPr>
                <w:color w:val="000000" w:themeColor="text1"/>
                <w:sz w:val="18"/>
                <w:szCs w:val="18"/>
                <w14:textFill>
                  <w14:solidFill>
                    <w14:schemeClr w14:val="tx1"/>
                  </w14:solidFill>
                </w14:textFill>
              </w:rPr>
            </w:pPr>
          </w:p>
        </w:tc>
        <w:tc>
          <w:tcPr>
            <w:tcW w:w="1134" w:type="dxa"/>
            <w:vAlign w:val="center"/>
          </w:tcPr>
          <w:p w14:paraId="4BD23A03">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09M5001</w:t>
            </w:r>
          </w:p>
        </w:tc>
        <w:tc>
          <w:tcPr>
            <w:tcW w:w="3686" w:type="dxa"/>
            <w:vAlign w:val="center"/>
          </w:tcPr>
          <w:p w14:paraId="09943D9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研究生综合英语</w:t>
            </w:r>
          </w:p>
          <w:p w14:paraId="3207233B">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Graduate Comprehensive English</w:t>
            </w:r>
          </w:p>
        </w:tc>
        <w:tc>
          <w:tcPr>
            <w:tcW w:w="708" w:type="dxa"/>
            <w:vAlign w:val="center"/>
          </w:tcPr>
          <w:p w14:paraId="54271786">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709" w:type="dxa"/>
            <w:vAlign w:val="center"/>
          </w:tcPr>
          <w:p w14:paraId="1667E1D4">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32FF1412">
            <w:pPr>
              <w:pStyle w:val="8"/>
              <w:spacing w:line="240" w:lineRule="auto"/>
              <w:rPr>
                <w:color w:val="000000" w:themeColor="text1"/>
                <w:sz w:val="18"/>
                <w:szCs w:val="18"/>
                <w14:textFill>
                  <w14:solidFill>
                    <w14:schemeClr w14:val="tx1"/>
                  </w14:solidFill>
                </w14:textFill>
              </w:rPr>
            </w:pPr>
          </w:p>
        </w:tc>
      </w:tr>
      <w:tr w14:paraId="7D4B5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358" w:type="dxa"/>
            <w:vMerge w:val="continue"/>
            <w:vAlign w:val="center"/>
          </w:tcPr>
          <w:p w14:paraId="2E565B2E">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41F4C66F">
            <w:pPr>
              <w:pStyle w:val="8"/>
              <w:spacing w:line="240" w:lineRule="auto"/>
              <w:rPr>
                <w:color w:val="000000" w:themeColor="text1"/>
                <w:sz w:val="18"/>
                <w:szCs w:val="18"/>
                <w14:textFill>
                  <w14:solidFill>
                    <w14:schemeClr w14:val="tx1"/>
                  </w14:solidFill>
                </w14:textFill>
              </w:rPr>
            </w:pPr>
          </w:p>
        </w:tc>
        <w:tc>
          <w:tcPr>
            <w:tcW w:w="1134" w:type="dxa"/>
            <w:vAlign w:val="center"/>
          </w:tcPr>
          <w:p w14:paraId="666D582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10M5003</w:t>
            </w:r>
          </w:p>
        </w:tc>
        <w:tc>
          <w:tcPr>
            <w:tcW w:w="3686" w:type="dxa"/>
            <w:vAlign w:val="center"/>
          </w:tcPr>
          <w:p w14:paraId="0BDCBDF9">
            <w:pPr>
              <w:pStyle w:val="8"/>
              <w:spacing w:line="240" w:lineRule="auto"/>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科学道德与学术规范</w:t>
            </w:r>
          </w:p>
        </w:tc>
        <w:tc>
          <w:tcPr>
            <w:tcW w:w="708" w:type="dxa"/>
            <w:vAlign w:val="center"/>
          </w:tcPr>
          <w:p w14:paraId="2E70A418">
            <w:pPr>
              <w:pStyle w:val="8"/>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p>
        </w:tc>
        <w:tc>
          <w:tcPr>
            <w:tcW w:w="709" w:type="dxa"/>
            <w:vAlign w:val="center"/>
          </w:tcPr>
          <w:p w14:paraId="3253EDC2">
            <w:pPr>
              <w:pStyle w:val="8"/>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p>
        </w:tc>
        <w:tc>
          <w:tcPr>
            <w:tcW w:w="851" w:type="dxa"/>
            <w:vAlign w:val="center"/>
          </w:tcPr>
          <w:p w14:paraId="58D4F86D">
            <w:pPr>
              <w:pStyle w:val="8"/>
              <w:spacing w:line="240" w:lineRule="auto"/>
              <w:rPr>
                <w:bCs/>
                <w:color w:val="000000" w:themeColor="text1"/>
                <w:sz w:val="18"/>
                <w:szCs w:val="18"/>
                <w14:textFill>
                  <w14:solidFill>
                    <w14:schemeClr w14:val="tx1"/>
                  </w14:solidFill>
                </w14:textFill>
              </w:rPr>
            </w:pPr>
          </w:p>
        </w:tc>
      </w:tr>
      <w:tr w14:paraId="74792D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358" w:type="dxa"/>
            <w:vMerge w:val="continue"/>
            <w:vAlign w:val="center"/>
          </w:tcPr>
          <w:p w14:paraId="0B1064F4">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6301F541">
            <w:pPr>
              <w:pStyle w:val="8"/>
              <w:spacing w:line="240" w:lineRule="auto"/>
              <w:rPr>
                <w:color w:val="000000" w:themeColor="text1"/>
                <w:sz w:val="18"/>
                <w:szCs w:val="18"/>
                <w14:textFill>
                  <w14:solidFill>
                    <w14:schemeClr w14:val="tx1"/>
                  </w14:solidFill>
                </w14:textFill>
              </w:rPr>
            </w:pPr>
          </w:p>
        </w:tc>
        <w:tc>
          <w:tcPr>
            <w:tcW w:w="1134" w:type="dxa"/>
            <w:vAlign w:val="center"/>
          </w:tcPr>
          <w:p w14:paraId="63BB22D3">
            <w:pPr>
              <w:pStyle w:val="8"/>
              <w:spacing w:line="240" w:lineRule="auto"/>
              <w:rPr>
                <w:color w:val="000000" w:themeColor="text1"/>
                <w:sz w:val="18"/>
                <w:szCs w:val="18"/>
                <w14:textFill>
                  <w14:solidFill>
                    <w14:schemeClr w14:val="tx1"/>
                  </w14:solidFill>
                </w14:textFill>
              </w:rPr>
            </w:pPr>
          </w:p>
        </w:tc>
        <w:tc>
          <w:tcPr>
            <w:tcW w:w="3686" w:type="dxa"/>
            <w:vAlign w:val="center"/>
          </w:tcPr>
          <w:p w14:paraId="756774C4">
            <w:pPr>
              <w:pStyle w:val="8"/>
              <w:spacing w:line="240" w:lineRule="auto"/>
              <w:rPr>
                <w:bCs/>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人工智能通识课</w:t>
            </w:r>
          </w:p>
        </w:tc>
        <w:tc>
          <w:tcPr>
            <w:tcW w:w="708" w:type="dxa"/>
            <w:vAlign w:val="center"/>
          </w:tcPr>
          <w:p w14:paraId="6B3AD22E">
            <w:pPr>
              <w:pStyle w:val="8"/>
              <w:spacing w:line="240" w:lineRule="auto"/>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709" w:type="dxa"/>
            <w:vAlign w:val="center"/>
          </w:tcPr>
          <w:p w14:paraId="1ECD9202">
            <w:pPr>
              <w:pStyle w:val="8"/>
              <w:spacing w:line="240" w:lineRule="auto"/>
              <w:rPr>
                <w:bCs/>
                <w:color w:val="000000" w:themeColor="text1"/>
                <w:sz w:val="18"/>
                <w:szCs w:val="18"/>
                <w14:textFill>
                  <w14:solidFill>
                    <w14:schemeClr w14:val="tx1"/>
                  </w14:solidFill>
                </w14:textFill>
              </w:rPr>
            </w:pPr>
            <w:r>
              <w:rPr>
                <w:b/>
                <w:bCs/>
                <w:color w:val="000000" w:themeColor="text1"/>
                <w:sz w:val="18"/>
                <w:szCs w:val="18"/>
                <w:highlight w:val="yellow"/>
                <w14:textFill>
                  <w14:solidFill>
                    <w14:schemeClr w14:val="tx1"/>
                  </w14:solidFill>
                </w14:textFill>
              </w:rPr>
              <w:t>1</w:t>
            </w:r>
          </w:p>
        </w:tc>
        <w:tc>
          <w:tcPr>
            <w:tcW w:w="851" w:type="dxa"/>
            <w:vAlign w:val="center"/>
          </w:tcPr>
          <w:p w14:paraId="7A4D31C8">
            <w:pPr>
              <w:pStyle w:val="8"/>
              <w:spacing w:line="240" w:lineRule="auto"/>
              <w:rPr>
                <w:bCs/>
                <w:color w:val="000000" w:themeColor="text1"/>
                <w:sz w:val="18"/>
                <w:szCs w:val="18"/>
                <w14:textFill>
                  <w14:solidFill>
                    <w14:schemeClr w14:val="tx1"/>
                  </w14:solidFill>
                </w14:textFill>
              </w:rPr>
            </w:pPr>
          </w:p>
        </w:tc>
      </w:tr>
      <w:tr w14:paraId="3E590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358" w:type="dxa"/>
            <w:vMerge w:val="continue"/>
            <w:vAlign w:val="center"/>
          </w:tcPr>
          <w:p w14:paraId="33EF2F7B">
            <w:pPr>
              <w:pStyle w:val="8"/>
              <w:spacing w:line="240" w:lineRule="auto"/>
              <w:rPr>
                <w:color w:val="000000" w:themeColor="text1"/>
                <w:sz w:val="18"/>
                <w:szCs w:val="18"/>
                <w14:textFill>
                  <w14:solidFill>
                    <w14:schemeClr w14:val="tx1"/>
                  </w14:solidFill>
                </w14:textFill>
              </w:rPr>
            </w:pPr>
          </w:p>
        </w:tc>
        <w:tc>
          <w:tcPr>
            <w:tcW w:w="1110" w:type="dxa"/>
            <w:vMerge w:val="restart"/>
            <w:vAlign w:val="center"/>
          </w:tcPr>
          <w:p w14:paraId="5736EF1A">
            <w:pPr>
              <w:pStyle w:val="8"/>
              <w:spacing w:line="240" w:lineRule="auto"/>
              <w:rPr>
                <w:color w:val="000000" w:themeColor="text1"/>
                <w:sz w:val="18"/>
                <w:szCs w:val="18"/>
                <w:highlight w:val="yellow"/>
                <w14:textFill>
                  <w14:solidFill>
                    <w14:schemeClr w14:val="tx1"/>
                  </w14:solidFill>
                </w14:textFill>
              </w:rPr>
            </w:pPr>
            <w:r>
              <w:rPr>
                <w:color w:val="000000" w:themeColor="text1"/>
                <w:sz w:val="18"/>
                <w:szCs w:val="18"/>
                <w:highlight w:val="yellow"/>
                <w14:textFill>
                  <w14:solidFill>
                    <w14:schemeClr w14:val="tx1"/>
                  </w14:solidFill>
                </w14:textFill>
              </w:rPr>
              <w:t>专业基础</w:t>
            </w:r>
          </w:p>
          <w:p w14:paraId="4B434687">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w:t>
            </w:r>
            <w:r>
              <w:rPr>
                <w:rFonts w:hint="eastAsia"/>
                <w:color w:val="000000" w:themeColor="text1"/>
                <w:sz w:val="18"/>
                <w:szCs w:val="18"/>
                <w:highlight w:val="yellow"/>
                <w14:textFill>
                  <w14:solidFill>
                    <w14:schemeClr w14:val="tx1"/>
                  </w14:solidFill>
                </w14:textFill>
              </w:rPr>
              <w:t>1</w:t>
            </w:r>
            <w:r>
              <w:rPr>
                <w:color w:val="000000" w:themeColor="text1"/>
                <w:sz w:val="18"/>
                <w:szCs w:val="18"/>
                <w:highlight w:val="yellow"/>
                <w14:textFill>
                  <w14:solidFill>
                    <w14:schemeClr w14:val="tx1"/>
                  </w14:solidFill>
                </w14:textFill>
              </w:rPr>
              <w:t>0学分</w:t>
            </w:r>
          </w:p>
        </w:tc>
        <w:tc>
          <w:tcPr>
            <w:tcW w:w="1134" w:type="dxa"/>
            <w:vAlign w:val="center"/>
          </w:tcPr>
          <w:p w14:paraId="10022FFC">
            <w:pPr>
              <w:pStyle w:val="8"/>
              <w:spacing w:line="240" w:lineRule="auto"/>
              <w:rPr>
                <w:color w:val="000000" w:themeColor="text1"/>
                <w:sz w:val="18"/>
                <w:szCs w:val="18"/>
                <w14:textFill>
                  <w14:solidFill>
                    <w14:schemeClr w14:val="tx1"/>
                  </w14:solidFill>
                </w14:textFill>
              </w:rPr>
            </w:pPr>
          </w:p>
        </w:tc>
        <w:tc>
          <w:tcPr>
            <w:tcW w:w="3686" w:type="dxa"/>
            <w:vAlign w:val="center"/>
          </w:tcPr>
          <w:p w14:paraId="691D7482">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数学类课程</w:t>
            </w:r>
          </w:p>
        </w:tc>
        <w:tc>
          <w:tcPr>
            <w:tcW w:w="708" w:type="dxa"/>
            <w:vAlign w:val="center"/>
          </w:tcPr>
          <w:p w14:paraId="46426F11">
            <w:pPr>
              <w:pStyle w:val="8"/>
              <w:spacing w:line="240" w:lineRule="auto"/>
              <w:rPr>
                <w:color w:val="000000" w:themeColor="text1"/>
                <w:sz w:val="18"/>
                <w:szCs w:val="18"/>
                <w14:textFill>
                  <w14:solidFill>
                    <w14:schemeClr w14:val="tx1"/>
                  </w14:solidFill>
                </w14:textFill>
              </w:rPr>
            </w:pPr>
          </w:p>
        </w:tc>
        <w:tc>
          <w:tcPr>
            <w:tcW w:w="709" w:type="dxa"/>
            <w:vAlign w:val="center"/>
          </w:tcPr>
          <w:p w14:paraId="1874916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40025807">
            <w:pPr>
              <w:pStyle w:val="8"/>
              <w:spacing w:line="240" w:lineRule="auto"/>
              <w:rPr>
                <w:color w:val="000000" w:themeColor="text1"/>
                <w:sz w:val="18"/>
                <w:szCs w:val="18"/>
                <w14:textFill>
                  <w14:solidFill>
                    <w14:schemeClr w14:val="tx1"/>
                  </w14:solidFill>
                </w14:textFill>
              </w:rPr>
            </w:pPr>
          </w:p>
        </w:tc>
      </w:tr>
      <w:tr w14:paraId="7B8EA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9" w:hRule="atLeast"/>
          <w:jc w:val="center"/>
        </w:trPr>
        <w:tc>
          <w:tcPr>
            <w:tcW w:w="358" w:type="dxa"/>
            <w:vMerge w:val="continue"/>
            <w:vAlign w:val="center"/>
          </w:tcPr>
          <w:p w14:paraId="08876B87">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20AE9CD9">
            <w:pPr>
              <w:pStyle w:val="8"/>
              <w:spacing w:line="240" w:lineRule="auto"/>
              <w:rPr>
                <w:color w:val="000000" w:themeColor="text1"/>
                <w:sz w:val="18"/>
                <w:szCs w:val="18"/>
                <w14:textFill>
                  <w14:solidFill>
                    <w14:schemeClr w14:val="tx1"/>
                  </w14:solidFill>
                </w14:textFill>
              </w:rPr>
            </w:pPr>
          </w:p>
        </w:tc>
        <w:tc>
          <w:tcPr>
            <w:tcW w:w="1134" w:type="dxa"/>
            <w:vAlign w:val="center"/>
          </w:tcPr>
          <w:p w14:paraId="5D1362F7">
            <w:pPr>
              <w:pStyle w:val="8"/>
              <w:spacing w:line="240" w:lineRule="auto"/>
              <w:rPr>
                <w:color w:val="000000" w:themeColor="text1"/>
                <w:sz w:val="18"/>
                <w:szCs w:val="18"/>
                <w14:textFill>
                  <w14:solidFill>
                    <w14:schemeClr w14:val="tx1"/>
                  </w14:solidFill>
                </w14:textFill>
              </w:rPr>
            </w:pPr>
          </w:p>
        </w:tc>
        <w:tc>
          <w:tcPr>
            <w:tcW w:w="3686" w:type="dxa"/>
            <w:vAlign w:val="center"/>
          </w:tcPr>
          <w:p w14:paraId="49AC8F48">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一级学科专业课</w:t>
            </w:r>
            <w:r>
              <w:rPr>
                <w:color w:val="000000" w:themeColor="text1"/>
                <w:sz w:val="18"/>
                <w:szCs w:val="18"/>
                <w:highlight w:val="yellow"/>
                <w14:textFill>
                  <w14:solidFill>
                    <w14:schemeClr w14:val="tx1"/>
                  </w14:solidFill>
                </w14:textFill>
              </w:rPr>
              <w:t>（请标明核心课程）</w:t>
            </w:r>
          </w:p>
        </w:tc>
        <w:tc>
          <w:tcPr>
            <w:tcW w:w="708" w:type="dxa"/>
            <w:vAlign w:val="center"/>
          </w:tcPr>
          <w:p w14:paraId="710CD494">
            <w:pPr>
              <w:pStyle w:val="8"/>
              <w:spacing w:line="240" w:lineRule="auto"/>
              <w:rPr>
                <w:color w:val="000000" w:themeColor="text1"/>
                <w:sz w:val="18"/>
                <w:szCs w:val="18"/>
                <w14:textFill>
                  <w14:solidFill>
                    <w14:schemeClr w14:val="tx1"/>
                  </w14:solidFill>
                </w14:textFill>
              </w:rPr>
            </w:pPr>
          </w:p>
        </w:tc>
        <w:tc>
          <w:tcPr>
            <w:tcW w:w="709" w:type="dxa"/>
            <w:vAlign w:val="center"/>
          </w:tcPr>
          <w:p w14:paraId="7F5E8B39">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2D4A3887">
            <w:pPr>
              <w:pStyle w:val="8"/>
              <w:spacing w:line="240" w:lineRule="auto"/>
              <w:rPr>
                <w:color w:val="000000" w:themeColor="text1"/>
                <w:sz w:val="18"/>
                <w:szCs w:val="18"/>
                <w14:textFill>
                  <w14:solidFill>
                    <w14:schemeClr w14:val="tx1"/>
                  </w14:solidFill>
                </w14:textFill>
              </w:rPr>
            </w:pPr>
          </w:p>
        </w:tc>
      </w:tr>
      <w:tr w14:paraId="28EFCF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358" w:type="dxa"/>
            <w:vMerge w:val="continue"/>
            <w:vAlign w:val="center"/>
          </w:tcPr>
          <w:p w14:paraId="59C0445E">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21959F1F">
            <w:pPr>
              <w:pStyle w:val="8"/>
              <w:spacing w:line="240" w:lineRule="auto"/>
              <w:rPr>
                <w:color w:val="000000" w:themeColor="text1"/>
                <w:sz w:val="18"/>
                <w:szCs w:val="18"/>
                <w14:textFill>
                  <w14:solidFill>
                    <w14:schemeClr w14:val="tx1"/>
                  </w14:solidFill>
                </w14:textFill>
              </w:rPr>
            </w:pPr>
          </w:p>
        </w:tc>
        <w:tc>
          <w:tcPr>
            <w:tcW w:w="1134" w:type="dxa"/>
            <w:vAlign w:val="center"/>
          </w:tcPr>
          <w:p w14:paraId="040636B7">
            <w:pPr>
              <w:pStyle w:val="8"/>
              <w:spacing w:line="240" w:lineRule="auto"/>
              <w:rPr>
                <w:color w:val="000000" w:themeColor="text1"/>
                <w:sz w:val="18"/>
                <w:szCs w:val="18"/>
                <w14:textFill>
                  <w14:solidFill>
                    <w14:schemeClr w14:val="tx1"/>
                  </w14:solidFill>
                </w14:textFill>
              </w:rPr>
            </w:pPr>
          </w:p>
        </w:tc>
        <w:tc>
          <w:tcPr>
            <w:tcW w:w="3686" w:type="dxa"/>
            <w:vAlign w:val="center"/>
          </w:tcPr>
          <w:p w14:paraId="7D6DC4C5">
            <w:pPr>
              <w:pStyle w:val="8"/>
              <w:spacing w:line="240" w:lineRule="auto"/>
              <w:rPr>
                <w:b/>
                <w:bCs/>
                <w:color w:val="000000" w:themeColor="text1"/>
                <w:sz w:val="18"/>
                <w:szCs w:val="18"/>
                <w:highlight w:val="yellow"/>
                <w14:textFill>
                  <w14:solidFill>
                    <w14:schemeClr w14:val="tx1"/>
                  </w14:solidFill>
                </w14:textFill>
              </w:rPr>
            </w:pPr>
          </w:p>
        </w:tc>
        <w:tc>
          <w:tcPr>
            <w:tcW w:w="708" w:type="dxa"/>
            <w:vAlign w:val="center"/>
          </w:tcPr>
          <w:p w14:paraId="7722C5E7">
            <w:pPr>
              <w:pStyle w:val="8"/>
              <w:spacing w:line="240" w:lineRule="auto"/>
              <w:rPr>
                <w:b/>
                <w:bCs/>
                <w:color w:val="000000" w:themeColor="text1"/>
                <w:sz w:val="18"/>
                <w:szCs w:val="18"/>
                <w:highlight w:val="yellow"/>
                <w14:textFill>
                  <w14:solidFill>
                    <w14:schemeClr w14:val="tx1"/>
                  </w14:solidFill>
                </w14:textFill>
              </w:rPr>
            </w:pPr>
          </w:p>
        </w:tc>
        <w:tc>
          <w:tcPr>
            <w:tcW w:w="709" w:type="dxa"/>
            <w:vAlign w:val="center"/>
          </w:tcPr>
          <w:p w14:paraId="0C0F375E">
            <w:pPr>
              <w:pStyle w:val="8"/>
              <w:spacing w:line="240" w:lineRule="auto"/>
              <w:rPr>
                <w:b/>
                <w:bCs/>
                <w:color w:val="000000" w:themeColor="text1"/>
                <w:sz w:val="18"/>
                <w:szCs w:val="18"/>
                <w:highlight w:val="yellow"/>
                <w14:textFill>
                  <w14:solidFill>
                    <w14:schemeClr w14:val="tx1"/>
                  </w14:solidFill>
                </w14:textFill>
              </w:rPr>
            </w:pPr>
          </w:p>
        </w:tc>
        <w:tc>
          <w:tcPr>
            <w:tcW w:w="851" w:type="dxa"/>
            <w:vAlign w:val="center"/>
          </w:tcPr>
          <w:p w14:paraId="3ECBBBC8">
            <w:pPr>
              <w:pStyle w:val="8"/>
              <w:spacing w:line="240" w:lineRule="auto"/>
              <w:rPr>
                <w:b/>
                <w:bCs/>
                <w:color w:val="000000" w:themeColor="text1"/>
                <w:sz w:val="18"/>
                <w:szCs w:val="18"/>
                <w:highlight w:val="yellow"/>
                <w14:textFill>
                  <w14:solidFill>
                    <w14:schemeClr w14:val="tx1"/>
                  </w14:solidFill>
                </w14:textFill>
              </w:rPr>
            </w:pPr>
          </w:p>
        </w:tc>
      </w:tr>
      <w:tr w14:paraId="122F75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358" w:type="dxa"/>
            <w:vMerge w:val="continue"/>
            <w:vAlign w:val="center"/>
          </w:tcPr>
          <w:p w14:paraId="1C28955B">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2783D160">
            <w:pPr>
              <w:pStyle w:val="8"/>
              <w:spacing w:line="240" w:lineRule="auto"/>
              <w:rPr>
                <w:color w:val="000000" w:themeColor="text1"/>
                <w:sz w:val="18"/>
                <w:szCs w:val="18"/>
                <w14:textFill>
                  <w14:solidFill>
                    <w14:schemeClr w14:val="tx1"/>
                  </w14:solidFill>
                </w14:textFill>
              </w:rPr>
            </w:pPr>
          </w:p>
        </w:tc>
        <w:tc>
          <w:tcPr>
            <w:tcW w:w="1134" w:type="dxa"/>
            <w:vAlign w:val="center"/>
          </w:tcPr>
          <w:p w14:paraId="7C37F88C">
            <w:pPr>
              <w:pStyle w:val="8"/>
              <w:spacing w:line="240" w:lineRule="auto"/>
              <w:rPr>
                <w:color w:val="000000" w:themeColor="text1"/>
                <w:sz w:val="18"/>
                <w:szCs w:val="18"/>
                <w14:textFill>
                  <w14:solidFill>
                    <w14:schemeClr w14:val="tx1"/>
                  </w14:solidFill>
                </w14:textFill>
              </w:rPr>
            </w:pPr>
          </w:p>
        </w:tc>
        <w:tc>
          <w:tcPr>
            <w:tcW w:w="3686" w:type="dxa"/>
            <w:vAlign w:val="center"/>
          </w:tcPr>
          <w:p w14:paraId="3F54E51E">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AI+专业课程（请标明AI课程）</w:t>
            </w:r>
          </w:p>
        </w:tc>
        <w:tc>
          <w:tcPr>
            <w:tcW w:w="708" w:type="dxa"/>
            <w:vAlign w:val="center"/>
          </w:tcPr>
          <w:p w14:paraId="4F09A5C2">
            <w:pPr>
              <w:pStyle w:val="8"/>
              <w:spacing w:line="240" w:lineRule="auto"/>
              <w:rPr>
                <w:b/>
                <w:bCs/>
                <w:color w:val="000000" w:themeColor="text1"/>
                <w:sz w:val="18"/>
                <w:szCs w:val="18"/>
                <w:highlight w:val="yellow"/>
                <w14:textFill>
                  <w14:solidFill>
                    <w14:schemeClr w14:val="tx1"/>
                  </w14:solidFill>
                </w14:textFill>
              </w:rPr>
            </w:pPr>
          </w:p>
        </w:tc>
        <w:tc>
          <w:tcPr>
            <w:tcW w:w="709" w:type="dxa"/>
            <w:vAlign w:val="center"/>
          </w:tcPr>
          <w:p w14:paraId="518EE016">
            <w:pPr>
              <w:pStyle w:val="8"/>
              <w:spacing w:line="240" w:lineRule="auto"/>
              <w:rPr>
                <w:b/>
                <w:bCs/>
                <w:color w:val="000000" w:themeColor="text1"/>
                <w:sz w:val="18"/>
                <w:szCs w:val="18"/>
                <w:highlight w:val="yellow"/>
                <w14:textFill>
                  <w14:solidFill>
                    <w14:schemeClr w14:val="tx1"/>
                  </w14:solidFill>
                </w14:textFill>
              </w:rPr>
            </w:pPr>
            <w:r>
              <w:rPr>
                <w:b/>
                <w:bCs/>
                <w:color w:val="000000" w:themeColor="text1"/>
                <w:sz w:val="18"/>
                <w:szCs w:val="18"/>
                <w:highlight w:val="yellow"/>
                <w14:textFill>
                  <w14:solidFill>
                    <w14:schemeClr w14:val="tx1"/>
                  </w14:solidFill>
                </w14:textFill>
              </w:rPr>
              <w:t>1</w:t>
            </w:r>
          </w:p>
        </w:tc>
        <w:tc>
          <w:tcPr>
            <w:tcW w:w="851" w:type="dxa"/>
            <w:vAlign w:val="center"/>
          </w:tcPr>
          <w:p w14:paraId="0B5D22DC">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7C254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jc w:val="center"/>
        </w:trPr>
        <w:tc>
          <w:tcPr>
            <w:tcW w:w="358" w:type="dxa"/>
            <w:vMerge w:val="restart"/>
            <w:vAlign w:val="center"/>
          </w:tcPr>
          <w:p w14:paraId="1D6AE55F">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选修课程</w:t>
            </w:r>
          </w:p>
        </w:tc>
        <w:tc>
          <w:tcPr>
            <w:tcW w:w="1110" w:type="dxa"/>
            <w:vMerge w:val="restart"/>
            <w:vAlign w:val="center"/>
          </w:tcPr>
          <w:p w14:paraId="7B0A5DC2">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专业技术</w:t>
            </w:r>
          </w:p>
          <w:p w14:paraId="08376C91">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≥**学分</w:t>
            </w:r>
          </w:p>
        </w:tc>
        <w:tc>
          <w:tcPr>
            <w:tcW w:w="1134" w:type="dxa"/>
            <w:tcBorders>
              <w:bottom w:val="single" w:color="auto" w:sz="4" w:space="0"/>
            </w:tcBorders>
            <w:vAlign w:val="center"/>
          </w:tcPr>
          <w:p w14:paraId="7E02B1F8">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11CDD034">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见《研究生学科交叉课程目录》</w:t>
            </w:r>
          </w:p>
        </w:tc>
        <w:tc>
          <w:tcPr>
            <w:tcW w:w="708" w:type="dxa"/>
            <w:tcBorders>
              <w:bottom w:val="single" w:color="auto" w:sz="4" w:space="0"/>
            </w:tcBorders>
            <w:vAlign w:val="center"/>
          </w:tcPr>
          <w:p w14:paraId="20D63DFF">
            <w:pPr>
              <w:pStyle w:val="8"/>
              <w:spacing w:line="240" w:lineRule="auto"/>
              <w:rPr>
                <w:b/>
                <w:bCs/>
                <w:color w:val="000000" w:themeColor="text1"/>
                <w:sz w:val="18"/>
                <w:szCs w:val="18"/>
                <w:highlight w:val="yellow"/>
                <w14:textFill>
                  <w14:solidFill>
                    <w14:schemeClr w14:val="tx1"/>
                  </w14:solidFill>
                </w14:textFill>
              </w:rPr>
            </w:pPr>
          </w:p>
        </w:tc>
        <w:tc>
          <w:tcPr>
            <w:tcW w:w="709" w:type="dxa"/>
            <w:tcBorders>
              <w:bottom w:val="single" w:color="auto" w:sz="4" w:space="0"/>
            </w:tcBorders>
            <w:vAlign w:val="center"/>
          </w:tcPr>
          <w:p w14:paraId="7D610E32">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p>
        </w:tc>
        <w:tc>
          <w:tcPr>
            <w:tcW w:w="851" w:type="dxa"/>
            <w:tcBorders>
              <w:bottom w:val="single" w:color="auto" w:sz="4" w:space="0"/>
            </w:tcBorders>
            <w:vAlign w:val="center"/>
          </w:tcPr>
          <w:p w14:paraId="63337CD0">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382959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358" w:type="dxa"/>
            <w:vMerge w:val="continue"/>
            <w:vAlign w:val="center"/>
          </w:tcPr>
          <w:p w14:paraId="51CDA315">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1D26E47C">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bottom w:val="single" w:color="auto" w:sz="4" w:space="0"/>
            </w:tcBorders>
            <w:vAlign w:val="center"/>
          </w:tcPr>
          <w:p w14:paraId="78183000">
            <w:pPr>
              <w:pStyle w:val="8"/>
              <w:spacing w:line="240" w:lineRule="auto"/>
              <w:rPr>
                <w:color w:val="000000" w:themeColor="text1"/>
                <w:sz w:val="18"/>
                <w:szCs w:val="18"/>
                <w14:textFill>
                  <w14:solidFill>
                    <w14:schemeClr w14:val="tx1"/>
                  </w14:solidFill>
                </w14:textFill>
              </w:rPr>
            </w:pPr>
          </w:p>
        </w:tc>
        <w:tc>
          <w:tcPr>
            <w:tcW w:w="3686" w:type="dxa"/>
            <w:tcBorders>
              <w:top w:val="single" w:color="auto" w:sz="4" w:space="0"/>
              <w:bottom w:val="single" w:color="auto" w:sz="4" w:space="0"/>
            </w:tcBorders>
            <w:vAlign w:val="center"/>
          </w:tcPr>
          <w:p w14:paraId="52F670BA">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科教融汇课程（请标明科教融汇课程）</w:t>
            </w:r>
          </w:p>
        </w:tc>
        <w:tc>
          <w:tcPr>
            <w:tcW w:w="708" w:type="dxa"/>
            <w:tcBorders>
              <w:top w:val="single" w:color="auto" w:sz="4" w:space="0"/>
              <w:bottom w:val="single" w:color="auto" w:sz="4" w:space="0"/>
            </w:tcBorders>
            <w:vAlign w:val="center"/>
          </w:tcPr>
          <w:p w14:paraId="534F6BCE">
            <w:pPr>
              <w:pStyle w:val="8"/>
              <w:spacing w:line="240" w:lineRule="auto"/>
              <w:rPr>
                <w:b/>
                <w:bCs/>
                <w:color w:val="000000" w:themeColor="text1"/>
                <w:sz w:val="18"/>
                <w:szCs w:val="18"/>
                <w:highlight w:val="yellow"/>
                <w14:textFill>
                  <w14:solidFill>
                    <w14:schemeClr w14:val="tx1"/>
                  </w14:solidFill>
                </w14:textFill>
              </w:rPr>
            </w:pPr>
          </w:p>
        </w:tc>
        <w:tc>
          <w:tcPr>
            <w:tcW w:w="709" w:type="dxa"/>
            <w:tcBorders>
              <w:top w:val="single" w:color="auto" w:sz="4" w:space="0"/>
              <w:bottom w:val="single" w:color="auto" w:sz="4" w:space="0"/>
            </w:tcBorders>
            <w:vAlign w:val="center"/>
          </w:tcPr>
          <w:p w14:paraId="28E7AEAE">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p>
        </w:tc>
        <w:tc>
          <w:tcPr>
            <w:tcW w:w="851" w:type="dxa"/>
            <w:tcBorders>
              <w:top w:val="single" w:color="auto" w:sz="4" w:space="0"/>
              <w:bottom w:val="single" w:color="auto" w:sz="4" w:space="0"/>
            </w:tcBorders>
            <w:vAlign w:val="center"/>
          </w:tcPr>
          <w:p w14:paraId="5B2511D1">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45181D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5" w:hRule="atLeast"/>
          <w:jc w:val="center"/>
        </w:trPr>
        <w:tc>
          <w:tcPr>
            <w:tcW w:w="358" w:type="dxa"/>
            <w:vMerge w:val="continue"/>
            <w:vAlign w:val="center"/>
          </w:tcPr>
          <w:p w14:paraId="39626D15">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0FFF9BFE">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tcBorders>
            <w:vAlign w:val="center"/>
          </w:tcPr>
          <w:p w14:paraId="5C101F30">
            <w:pPr>
              <w:pStyle w:val="8"/>
              <w:spacing w:line="240" w:lineRule="auto"/>
              <w:rPr>
                <w:color w:val="000000" w:themeColor="text1"/>
                <w:sz w:val="18"/>
                <w:szCs w:val="18"/>
                <w14:textFill>
                  <w14:solidFill>
                    <w14:schemeClr w14:val="tx1"/>
                  </w14:solidFill>
                </w14:textFill>
              </w:rPr>
            </w:pPr>
          </w:p>
        </w:tc>
        <w:tc>
          <w:tcPr>
            <w:tcW w:w="3686" w:type="dxa"/>
            <w:tcBorders>
              <w:top w:val="single" w:color="auto" w:sz="4" w:space="0"/>
            </w:tcBorders>
            <w:vAlign w:val="center"/>
          </w:tcPr>
          <w:p w14:paraId="71894BF3">
            <w:pPr>
              <w:pStyle w:val="8"/>
              <w:spacing w:line="240" w:lineRule="auto"/>
              <w:rPr>
                <w:b/>
                <w:bCs/>
                <w:color w:val="000000" w:themeColor="text1"/>
                <w:sz w:val="18"/>
                <w:szCs w:val="18"/>
                <w:highlight w:val="yellow"/>
                <w14:textFill>
                  <w14:solidFill>
                    <w14:schemeClr w14:val="tx1"/>
                  </w14:solidFill>
                </w14:textFill>
              </w:rPr>
            </w:pPr>
          </w:p>
        </w:tc>
        <w:tc>
          <w:tcPr>
            <w:tcW w:w="708" w:type="dxa"/>
            <w:tcBorders>
              <w:top w:val="single" w:color="auto" w:sz="4" w:space="0"/>
            </w:tcBorders>
            <w:vAlign w:val="center"/>
          </w:tcPr>
          <w:p w14:paraId="3B33AF79">
            <w:pPr>
              <w:pStyle w:val="8"/>
              <w:spacing w:line="240" w:lineRule="auto"/>
              <w:rPr>
                <w:b/>
                <w:bCs/>
                <w:color w:val="000000" w:themeColor="text1"/>
                <w:sz w:val="18"/>
                <w:szCs w:val="18"/>
                <w:highlight w:val="yellow"/>
                <w14:textFill>
                  <w14:solidFill>
                    <w14:schemeClr w14:val="tx1"/>
                  </w14:solidFill>
                </w14:textFill>
              </w:rPr>
            </w:pPr>
          </w:p>
        </w:tc>
        <w:tc>
          <w:tcPr>
            <w:tcW w:w="709" w:type="dxa"/>
            <w:tcBorders>
              <w:top w:val="single" w:color="auto" w:sz="4" w:space="0"/>
            </w:tcBorders>
            <w:vAlign w:val="center"/>
          </w:tcPr>
          <w:p w14:paraId="48DF9B16">
            <w:pPr>
              <w:pStyle w:val="8"/>
              <w:spacing w:line="240" w:lineRule="auto"/>
              <w:rPr>
                <w:b/>
                <w:bCs/>
                <w:color w:val="000000" w:themeColor="text1"/>
                <w:sz w:val="18"/>
                <w:szCs w:val="18"/>
                <w:highlight w:val="yellow"/>
                <w14:textFill>
                  <w14:solidFill>
                    <w14:schemeClr w14:val="tx1"/>
                  </w14:solidFill>
                </w14:textFill>
              </w:rPr>
            </w:pPr>
          </w:p>
        </w:tc>
        <w:tc>
          <w:tcPr>
            <w:tcW w:w="851" w:type="dxa"/>
            <w:tcBorders>
              <w:top w:val="single" w:color="auto" w:sz="4" w:space="0"/>
            </w:tcBorders>
            <w:vAlign w:val="center"/>
          </w:tcPr>
          <w:p w14:paraId="454D6492">
            <w:pPr>
              <w:pStyle w:val="8"/>
              <w:spacing w:line="240" w:lineRule="auto"/>
              <w:rPr>
                <w:b/>
                <w:bCs/>
                <w:color w:val="000000" w:themeColor="text1"/>
                <w:sz w:val="18"/>
                <w:szCs w:val="18"/>
                <w:highlight w:val="yellow"/>
                <w14:textFill>
                  <w14:solidFill>
                    <w14:schemeClr w14:val="tx1"/>
                  </w14:solidFill>
                </w14:textFill>
              </w:rPr>
            </w:pPr>
          </w:p>
        </w:tc>
      </w:tr>
      <w:tr w14:paraId="406DA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358" w:type="dxa"/>
            <w:vMerge w:val="continue"/>
            <w:vAlign w:val="center"/>
          </w:tcPr>
          <w:p w14:paraId="79D65CC7">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3A22D8BA">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tcBorders>
            <w:vAlign w:val="center"/>
          </w:tcPr>
          <w:p w14:paraId="65E11E73">
            <w:pPr>
              <w:pStyle w:val="8"/>
              <w:spacing w:line="240" w:lineRule="auto"/>
              <w:rPr>
                <w:color w:val="000000" w:themeColor="text1"/>
                <w:sz w:val="18"/>
                <w:szCs w:val="18"/>
                <w14:textFill>
                  <w14:solidFill>
                    <w14:schemeClr w14:val="tx1"/>
                  </w14:solidFill>
                </w14:textFill>
              </w:rPr>
            </w:pPr>
          </w:p>
        </w:tc>
        <w:tc>
          <w:tcPr>
            <w:tcW w:w="3686" w:type="dxa"/>
            <w:tcBorders>
              <w:top w:val="single" w:color="auto" w:sz="4" w:space="0"/>
            </w:tcBorders>
            <w:vAlign w:val="center"/>
          </w:tcPr>
          <w:p w14:paraId="085A1B8A">
            <w:pPr>
              <w:pStyle w:val="8"/>
              <w:spacing w:line="240" w:lineRule="auto"/>
              <w:rPr>
                <w:b/>
                <w:bCs/>
                <w:color w:val="000000" w:themeColor="text1"/>
                <w:sz w:val="18"/>
                <w:szCs w:val="18"/>
                <w:highlight w:val="yellow"/>
                <w14:textFill>
                  <w14:solidFill>
                    <w14:schemeClr w14:val="tx1"/>
                  </w14:solidFill>
                </w14:textFill>
              </w:rPr>
            </w:pPr>
          </w:p>
        </w:tc>
        <w:tc>
          <w:tcPr>
            <w:tcW w:w="708" w:type="dxa"/>
            <w:tcBorders>
              <w:top w:val="single" w:color="auto" w:sz="4" w:space="0"/>
            </w:tcBorders>
            <w:vAlign w:val="center"/>
          </w:tcPr>
          <w:p w14:paraId="03DF36FB">
            <w:pPr>
              <w:pStyle w:val="8"/>
              <w:spacing w:line="240" w:lineRule="auto"/>
              <w:rPr>
                <w:b/>
                <w:bCs/>
                <w:color w:val="000000" w:themeColor="text1"/>
                <w:sz w:val="18"/>
                <w:szCs w:val="18"/>
                <w:highlight w:val="yellow"/>
                <w14:textFill>
                  <w14:solidFill>
                    <w14:schemeClr w14:val="tx1"/>
                  </w14:solidFill>
                </w14:textFill>
              </w:rPr>
            </w:pPr>
          </w:p>
        </w:tc>
        <w:tc>
          <w:tcPr>
            <w:tcW w:w="709" w:type="dxa"/>
            <w:tcBorders>
              <w:top w:val="single" w:color="auto" w:sz="4" w:space="0"/>
            </w:tcBorders>
            <w:vAlign w:val="center"/>
          </w:tcPr>
          <w:p w14:paraId="254CF75A">
            <w:pPr>
              <w:pStyle w:val="8"/>
              <w:spacing w:line="240" w:lineRule="auto"/>
              <w:rPr>
                <w:b/>
                <w:bCs/>
                <w:color w:val="000000" w:themeColor="text1"/>
                <w:sz w:val="18"/>
                <w:szCs w:val="18"/>
                <w:highlight w:val="yellow"/>
                <w14:textFill>
                  <w14:solidFill>
                    <w14:schemeClr w14:val="tx1"/>
                  </w14:solidFill>
                </w14:textFill>
              </w:rPr>
            </w:pPr>
          </w:p>
        </w:tc>
        <w:tc>
          <w:tcPr>
            <w:tcW w:w="851" w:type="dxa"/>
            <w:tcBorders>
              <w:top w:val="single" w:color="auto" w:sz="4" w:space="0"/>
            </w:tcBorders>
            <w:vAlign w:val="center"/>
          </w:tcPr>
          <w:p w14:paraId="14BA0C11">
            <w:pPr>
              <w:pStyle w:val="8"/>
              <w:spacing w:line="240" w:lineRule="auto"/>
              <w:rPr>
                <w:b/>
                <w:bCs/>
                <w:color w:val="000000" w:themeColor="text1"/>
                <w:sz w:val="18"/>
                <w:szCs w:val="18"/>
                <w:highlight w:val="yellow"/>
                <w14:textFill>
                  <w14:solidFill>
                    <w14:schemeClr w14:val="tx1"/>
                  </w14:solidFill>
                </w14:textFill>
              </w:rPr>
            </w:pPr>
          </w:p>
        </w:tc>
      </w:tr>
      <w:tr w14:paraId="22517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358" w:type="dxa"/>
            <w:vMerge w:val="continue"/>
            <w:vAlign w:val="center"/>
          </w:tcPr>
          <w:p w14:paraId="63D522BA">
            <w:pPr>
              <w:pStyle w:val="8"/>
              <w:spacing w:line="240" w:lineRule="auto"/>
              <w:rPr>
                <w:color w:val="000000" w:themeColor="text1"/>
                <w:sz w:val="18"/>
                <w:szCs w:val="18"/>
                <w14:textFill>
                  <w14:solidFill>
                    <w14:schemeClr w14:val="tx1"/>
                  </w14:solidFill>
                </w14:textFill>
              </w:rPr>
            </w:pPr>
          </w:p>
        </w:tc>
        <w:tc>
          <w:tcPr>
            <w:tcW w:w="1110" w:type="dxa"/>
            <w:vMerge w:val="restart"/>
            <w:vAlign w:val="center"/>
          </w:tcPr>
          <w:p w14:paraId="02D18B94">
            <w:pPr>
              <w:pStyle w:val="8"/>
              <w:spacing w:line="240" w:lineRule="auto"/>
              <w:rPr>
                <w:color w:val="000000" w:themeColor="text1"/>
                <w:sz w:val="18"/>
                <w:szCs w:val="18"/>
                <w:highlight w:val="yellow"/>
                <w14:textFill>
                  <w14:solidFill>
                    <w14:schemeClr w14:val="tx1"/>
                  </w14:solidFill>
                </w14:textFill>
              </w:rPr>
            </w:pPr>
            <w:r>
              <w:rPr>
                <w:rFonts w:hint="eastAsia"/>
                <w:color w:val="000000" w:themeColor="text1"/>
                <w:sz w:val="18"/>
                <w:szCs w:val="18"/>
                <w:highlight w:val="yellow"/>
                <w14:textFill>
                  <w14:solidFill>
                    <w14:schemeClr w14:val="tx1"/>
                  </w14:solidFill>
                </w14:textFill>
              </w:rPr>
              <w:t>专业特色</w:t>
            </w:r>
          </w:p>
          <w:p w14:paraId="40DE56C1">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=4学分</w:t>
            </w:r>
          </w:p>
        </w:tc>
        <w:tc>
          <w:tcPr>
            <w:tcW w:w="1134" w:type="dxa"/>
            <w:tcBorders>
              <w:bottom w:val="single" w:color="auto" w:sz="4" w:space="0"/>
            </w:tcBorders>
            <w:vAlign w:val="center"/>
          </w:tcPr>
          <w:p w14:paraId="1CAA973D">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3AED964E">
            <w:pPr>
              <w:pStyle w:val="8"/>
              <w:spacing w:line="240" w:lineRule="auto"/>
              <w:rPr>
                <w:b/>
                <w:color w:val="000000" w:themeColor="text1"/>
                <w:sz w:val="18"/>
                <w:szCs w:val="18"/>
                <w:highlight w:val="yellow"/>
                <w14:textFill>
                  <w14:solidFill>
                    <w14:schemeClr w14:val="tx1"/>
                  </w14:solidFill>
                </w14:textFill>
              </w:rPr>
            </w:pPr>
            <w:r>
              <w:rPr>
                <w:rFonts w:hint="eastAsia"/>
                <w:b/>
                <w:color w:val="000000" w:themeColor="text1"/>
                <w:sz w:val="18"/>
                <w:szCs w:val="18"/>
                <w:highlight w:val="yellow"/>
                <w14:textFill>
                  <w14:solidFill>
                    <w14:schemeClr w14:val="tx1"/>
                  </w14:solidFill>
                </w14:textFill>
              </w:rPr>
              <w:t>*</w:t>
            </w:r>
            <w:r>
              <w:rPr>
                <w:b/>
                <w:color w:val="000000" w:themeColor="text1"/>
                <w:sz w:val="18"/>
                <w:szCs w:val="18"/>
                <w:highlight w:val="yellow"/>
                <w14:textFill>
                  <w14:solidFill>
                    <w14:schemeClr w14:val="tx1"/>
                  </w14:solidFill>
                </w14:textFill>
              </w:rPr>
              <w:t>***</w:t>
            </w:r>
            <w:r>
              <w:rPr>
                <w:rFonts w:hint="eastAsia"/>
                <w:b/>
                <w:color w:val="000000" w:themeColor="text1"/>
                <w:sz w:val="18"/>
                <w:szCs w:val="18"/>
                <w:highlight w:val="yellow"/>
                <w14:textFill>
                  <w14:solidFill>
                    <w14:schemeClr w14:val="tx1"/>
                  </w14:solidFill>
                </w14:textFill>
              </w:rPr>
              <w:t>学科前沿</w:t>
            </w:r>
          </w:p>
        </w:tc>
        <w:tc>
          <w:tcPr>
            <w:tcW w:w="708" w:type="dxa"/>
            <w:tcBorders>
              <w:bottom w:val="single" w:color="auto" w:sz="4" w:space="0"/>
            </w:tcBorders>
            <w:vAlign w:val="center"/>
          </w:tcPr>
          <w:p w14:paraId="259B5CAE">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709" w:type="dxa"/>
            <w:tcBorders>
              <w:bottom w:val="single" w:color="auto" w:sz="4" w:space="0"/>
            </w:tcBorders>
            <w:vAlign w:val="center"/>
          </w:tcPr>
          <w:p w14:paraId="0F17ABF5">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-2</w:t>
            </w:r>
          </w:p>
        </w:tc>
        <w:tc>
          <w:tcPr>
            <w:tcW w:w="851" w:type="dxa"/>
            <w:tcBorders>
              <w:bottom w:val="single" w:color="auto" w:sz="4" w:space="0"/>
            </w:tcBorders>
            <w:vAlign w:val="center"/>
          </w:tcPr>
          <w:p w14:paraId="7BA31696">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2599B7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358" w:type="dxa"/>
            <w:vMerge w:val="continue"/>
            <w:vAlign w:val="center"/>
          </w:tcPr>
          <w:p w14:paraId="726E4302">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39CCD274">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tcBorders>
            <w:vAlign w:val="center"/>
          </w:tcPr>
          <w:p w14:paraId="01B28F46">
            <w:pPr>
              <w:pStyle w:val="8"/>
              <w:spacing w:line="240" w:lineRule="auto"/>
              <w:rPr>
                <w:b/>
                <w:color w:val="000000" w:themeColor="text1"/>
                <w:sz w:val="18"/>
                <w:szCs w:val="18"/>
                <w14:textFill>
                  <w14:solidFill>
                    <w14:schemeClr w14:val="tx1"/>
                  </w14:solidFill>
                </w14:textFill>
              </w:rPr>
            </w:pPr>
          </w:p>
        </w:tc>
        <w:tc>
          <w:tcPr>
            <w:tcW w:w="3686" w:type="dxa"/>
            <w:tcBorders>
              <w:top w:val="single" w:color="auto" w:sz="4" w:space="0"/>
            </w:tcBorders>
            <w:vAlign w:val="center"/>
          </w:tcPr>
          <w:p w14:paraId="3A2F2FD2">
            <w:pPr>
              <w:pStyle w:val="8"/>
              <w:spacing w:line="240" w:lineRule="auto"/>
              <w:rPr>
                <w:b/>
                <w:color w:val="000000" w:themeColor="text1"/>
                <w:sz w:val="18"/>
                <w:szCs w:val="18"/>
                <w:highlight w:val="yellow"/>
                <w14:textFill>
                  <w14:solidFill>
                    <w14:schemeClr w14:val="tx1"/>
                  </w14:solidFill>
                </w14:textFill>
              </w:rPr>
            </w:pPr>
            <w:r>
              <w:rPr>
                <w:b/>
                <w:color w:val="000000" w:themeColor="text1"/>
                <w:sz w:val="18"/>
                <w:szCs w:val="18"/>
                <w:highlight w:val="yellow"/>
                <w14:textFill>
                  <w14:solidFill>
                    <w14:schemeClr w14:val="tx1"/>
                  </w14:solidFill>
                </w14:textFill>
              </w:rPr>
              <w:t>***</w:t>
            </w:r>
            <w:r>
              <w:rPr>
                <w:rFonts w:hint="eastAsia"/>
                <w:b/>
                <w:color w:val="000000" w:themeColor="text1"/>
                <w:sz w:val="18"/>
                <w:szCs w:val="18"/>
                <w:highlight w:val="yellow"/>
                <w14:textFill>
                  <w14:solidFill>
                    <w14:schemeClr w14:val="tx1"/>
                  </w14:solidFill>
                </w14:textFill>
              </w:rPr>
              <w:t>学科科研实践</w:t>
            </w:r>
          </w:p>
        </w:tc>
        <w:tc>
          <w:tcPr>
            <w:tcW w:w="708" w:type="dxa"/>
            <w:tcBorders>
              <w:top w:val="single" w:color="auto" w:sz="4" w:space="0"/>
            </w:tcBorders>
            <w:vAlign w:val="center"/>
          </w:tcPr>
          <w:p w14:paraId="3F4A5865">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709" w:type="dxa"/>
            <w:tcBorders>
              <w:top w:val="single" w:color="auto" w:sz="4" w:space="0"/>
            </w:tcBorders>
            <w:vAlign w:val="center"/>
          </w:tcPr>
          <w:p w14:paraId="222DE1A7">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-2</w:t>
            </w:r>
          </w:p>
        </w:tc>
        <w:tc>
          <w:tcPr>
            <w:tcW w:w="851" w:type="dxa"/>
            <w:tcBorders>
              <w:top w:val="single" w:color="auto" w:sz="4" w:space="0"/>
            </w:tcBorders>
            <w:vAlign w:val="center"/>
          </w:tcPr>
          <w:p w14:paraId="553677AB">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4149F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358" w:type="dxa"/>
            <w:vMerge w:val="continue"/>
            <w:vAlign w:val="center"/>
          </w:tcPr>
          <w:p w14:paraId="0212F8B8">
            <w:pPr>
              <w:pStyle w:val="8"/>
              <w:spacing w:line="240" w:lineRule="auto"/>
              <w:rPr>
                <w:color w:val="000000" w:themeColor="text1"/>
                <w:sz w:val="18"/>
                <w:szCs w:val="18"/>
                <w14:textFill>
                  <w14:solidFill>
                    <w14:schemeClr w14:val="tx1"/>
                  </w14:solidFill>
                </w14:textFill>
              </w:rPr>
            </w:pPr>
          </w:p>
        </w:tc>
        <w:tc>
          <w:tcPr>
            <w:tcW w:w="1110" w:type="dxa"/>
            <w:vMerge w:val="restart"/>
            <w:vAlign w:val="center"/>
          </w:tcPr>
          <w:p w14:paraId="2CDC5316">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公共选修≥1学分</w:t>
            </w:r>
          </w:p>
        </w:tc>
        <w:tc>
          <w:tcPr>
            <w:tcW w:w="1134" w:type="dxa"/>
            <w:vAlign w:val="center"/>
          </w:tcPr>
          <w:p w14:paraId="1B6C2BDC">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1FDB63F3">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创新创业实践</w:t>
            </w:r>
          </w:p>
        </w:tc>
        <w:tc>
          <w:tcPr>
            <w:tcW w:w="708" w:type="dxa"/>
            <w:tcBorders>
              <w:bottom w:val="single" w:color="auto" w:sz="4" w:space="0"/>
            </w:tcBorders>
            <w:vAlign w:val="center"/>
          </w:tcPr>
          <w:p w14:paraId="3E9630A0">
            <w:pPr>
              <w:pStyle w:val="8"/>
              <w:spacing w:line="240" w:lineRule="auto"/>
              <w:rPr>
                <w:color w:val="000000" w:themeColor="text1"/>
                <w:sz w:val="18"/>
                <w:szCs w:val="18"/>
                <w:highlight w:val="green"/>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p>
        </w:tc>
        <w:tc>
          <w:tcPr>
            <w:tcW w:w="709" w:type="dxa"/>
            <w:tcBorders>
              <w:bottom w:val="single" w:color="auto" w:sz="4" w:space="0"/>
            </w:tcBorders>
            <w:vAlign w:val="center"/>
          </w:tcPr>
          <w:p w14:paraId="22D451AE">
            <w:pPr>
              <w:pStyle w:val="8"/>
              <w:spacing w:line="240" w:lineRule="auto"/>
              <w:rPr>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r>
              <w:rPr>
                <w:b/>
                <w:bCs/>
                <w:color w:val="000000" w:themeColor="text1"/>
                <w:sz w:val="18"/>
                <w:szCs w:val="18"/>
                <w:highlight w:val="yellow"/>
                <w14:textFill>
                  <w14:solidFill>
                    <w14:schemeClr w14:val="tx1"/>
                  </w14:solidFill>
                </w14:textFill>
              </w:rPr>
              <w:t>-2</w:t>
            </w:r>
          </w:p>
        </w:tc>
        <w:tc>
          <w:tcPr>
            <w:tcW w:w="851" w:type="dxa"/>
            <w:tcBorders>
              <w:bottom w:val="single" w:color="auto" w:sz="4" w:space="0"/>
            </w:tcBorders>
            <w:vAlign w:val="center"/>
          </w:tcPr>
          <w:p w14:paraId="464E34BC">
            <w:pPr>
              <w:pStyle w:val="8"/>
              <w:spacing w:line="240" w:lineRule="auto"/>
              <w:rPr>
                <w:color w:val="000000" w:themeColor="text1"/>
                <w:sz w:val="18"/>
                <w:szCs w:val="18"/>
                <w:highlight w:val="green"/>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2EBFA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358" w:type="dxa"/>
            <w:vMerge w:val="continue"/>
            <w:vAlign w:val="center"/>
          </w:tcPr>
          <w:p w14:paraId="21855F2E">
            <w:pPr>
              <w:pStyle w:val="8"/>
              <w:spacing w:line="240" w:lineRule="auto"/>
              <w:rPr>
                <w:color w:val="000000" w:themeColor="text1"/>
                <w:sz w:val="18"/>
                <w:szCs w:val="18"/>
                <w14:textFill>
                  <w14:solidFill>
                    <w14:schemeClr w14:val="tx1"/>
                  </w14:solidFill>
                </w14:textFill>
              </w:rPr>
            </w:pPr>
          </w:p>
        </w:tc>
        <w:tc>
          <w:tcPr>
            <w:tcW w:w="1110" w:type="dxa"/>
            <w:vMerge w:val="continue"/>
            <w:vAlign w:val="center"/>
          </w:tcPr>
          <w:p w14:paraId="4470A2CC">
            <w:pPr>
              <w:pStyle w:val="8"/>
              <w:spacing w:line="240" w:lineRule="auto"/>
              <w:rPr>
                <w:color w:val="000000" w:themeColor="text1"/>
                <w:sz w:val="18"/>
                <w:szCs w:val="18"/>
                <w14:textFill>
                  <w14:solidFill>
                    <w14:schemeClr w14:val="tx1"/>
                  </w14:solidFill>
                </w14:textFill>
              </w:rPr>
            </w:pPr>
          </w:p>
        </w:tc>
        <w:tc>
          <w:tcPr>
            <w:tcW w:w="1134" w:type="dxa"/>
            <w:vAlign w:val="center"/>
          </w:tcPr>
          <w:p w14:paraId="58C25747">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7F551942">
            <w:pPr>
              <w:pStyle w:val="8"/>
              <w:spacing w:line="240" w:lineRule="auto"/>
              <w:rPr>
                <w:color w:val="000000" w:themeColor="text1"/>
                <w:sz w:val="18"/>
                <w:szCs w:val="18"/>
                <w:highlight w:val="green"/>
                <w14:textFill>
                  <w14:solidFill>
                    <w14:schemeClr w14:val="tx1"/>
                  </w14:solidFill>
                </w14:textFill>
              </w:rPr>
            </w:pPr>
            <w:r>
              <w:rPr>
                <w:color w:val="000000" w:themeColor="text1"/>
                <w:sz w:val="18"/>
                <w:szCs w:val="18"/>
                <w14:textFill>
                  <w14:solidFill>
                    <w14:schemeClr w14:val="tx1"/>
                  </w14:solidFill>
                </w14:textFill>
              </w:rPr>
              <w:t>见《研究生公共选修课程目录》</w:t>
            </w:r>
          </w:p>
        </w:tc>
        <w:tc>
          <w:tcPr>
            <w:tcW w:w="708" w:type="dxa"/>
            <w:tcBorders>
              <w:bottom w:val="single" w:color="auto" w:sz="4" w:space="0"/>
            </w:tcBorders>
            <w:vAlign w:val="center"/>
          </w:tcPr>
          <w:p w14:paraId="1F064DE2">
            <w:pPr>
              <w:pStyle w:val="8"/>
              <w:spacing w:line="240" w:lineRule="auto"/>
              <w:rPr>
                <w:color w:val="000000" w:themeColor="text1"/>
                <w:sz w:val="18"/>
                <w:szCs w:val="18"/>
                <w:highlight w:val="green"/>
                <w14:textFill>
                  <w14:solidFill>
                    <w14:schemeClr w14:val="tx1"/>
                  </w14:solidFill>
                </w14:textFill>
              </w:rPr>
            </w:pPr>
          </w:p>
        </w:tc>
        <w:tc>
          <w:tcPr>
            <w:tcW w:w="709" w:type="dxa"/>
            <w:tcBorders>
              <w:bottom w:val="single" w:color="auto" w:sz="4" w:space="0"/>
            </w:tcBorders>
            <w:vAlign w:val="center"/>
          </w:tcPr>
          <w:p w14:paraId="35DCD9AC">
            <w:pPr>
              <w:pStyle w:val="8"/>
              <w:spacing w:line="240" w:lineRule="auto"/>
              <w:rPr>
                <w:color w:val="000000" w:themeColor="text1"/>
                <w:sz w:val="18"/>
                <w:szCs w:val="18"/>
                <w:highlight w:val="green"/>
                <w14:textFill>
                  <w14:solidFill>
                    <w14:schemeClr w14:val="tx1"/>
                  </w14:solidFill>
                </w14:textFill>
              </w:rPr>
            </w:pPr>
            <w:r>
              <w:rPr>
                <w:color w:val="000000" w:themeColor="text1"/>
                <w:sz w:val="18"/>
                <w:szCs w:val="18"/>
                <w:highlight w:val="yellow"/>
                <w14:textFill>
                  <w14:solidFill>
                    <w14:schemeClr w14:val="tx1"/>
                  </w14:solidFill>
                </w14:textFill>
              </w:rPr>
              <w:t>1</w:t>
            </w:r>
          </w:p>
        </w:tc>
        <w:tc>
          <w:tcPr>
            <w:tcW w:w="851" w:type="dxa"/>
            <w:tcBorders>
              <w:bottom w:val="single" w:color="auto" w:sz="4" w:space="0"/>
            </w:tcBorders>
            <w:vAlign w:val="center"/>
          </w:tcPr>
          <w:p w14:paraId="7FFCC41A">
            <w:pPr>
              <w:pStyle w:val="8"/>
              <w:spacing w:line="240" w:lineRule="auto"/>
              <w:rPr>
                <w:color w:val="000000" w:themeColor="text1"/>
                <w:sz w:val="18"/>
                <w:szCs w:val="18"/>
                <w:highlight w:val="green"/>
                <w14:textFill>
                  <w14:solidFill>
                    <w14:schemeClr w14:val="tx1"/>
                  </w14:solidFill>
                </w14:textFill>
              </w:rPr>
            </w:pPr>
          </w:p>
        </w:tc>
      </w:tr>
      <w:tr w14:paraId="20131E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468" w:type="dxa"/>
            <w:gridSpan w:val="2"/>
            <w:vMerge w:val="restart"/>
            <w:vAlign w:val="center"/>
          </w:tcPr>
          <w:p w14:paraId="6FDF42AA">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必</w:t>
            </w:r>
            <w:r>
              <w:rPr>
                <w:rFonts w:hint="eastAsia"/>
                <w:color w:val="000000" w:themeColor="text1"/>
                <w:sz w:val="18"/>
                <w:szCs w:val="18"/>
                <w14:textFill>
                  <w14:solidFill>
                    <w14:schemeClr w14:val="tx1"/>
                  </w14:solidFill>
                </w14:textFill>
              </w:rPr>
              <w:t>修</w:t>
            </w:r>
            <w:r>
              <w:rPr>
                <w:color w:val="000000" w:themeColor="text1"/>
                <w:sz w:val="18"/>
                <w:szCs w:val="18"/>
                <w14:textFill>
                  <w14:solidFill>
                    <w14:schemeClr w14:val="tx1"/>
                  </w14:solidFill>
                </w14:textFill>
              </w:rPr>
              <w:t>环节</w:t>
            </w:r>
          </w:p>
          <w:p w14:paraId="380A44AD">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学分</w:t>
            </w:r>
          </w:p>
        </w:tc>
        <w:tc>
          <w:tcPr>
            <w:tcW w:w="1134" w:type="dxa"/>
            <w:vAlign w:val="center"/>
          </w:tcPr>
          <w:p w14:paraId="1415EA60">
            <w:pPr>
              <w:pStyle w:val="8"/>
              <w:spacing w:line="240" w:lineRule="auto"/>
              <w:rPr>
                <w:color w:val="000000" w:themeColor="text1"/>
                <w:sz w:val="18"/>
                <w:szCs w:val="18"/>
                <w14:textFill>
                  <w14:solidFill>
                    <w14:schemeClr w14:val="tx1"/>
                  </w14:solidFill>
                </w14:textFill>
              </w:rPr>
            </w:pPr>
          </w:p>
        </w:tc>
        <w:tc>
          <w:tcPr>
            <w:tcW w:w="3686" w:type="dxa"/>
            <w:vAlign w:val="center"/>
          </w:tcPr>
          <w:p w14:paraId="77CEAF27">
            <w:pPr>
              <w:pStyle w:val="8"/>
              <w:spacing w:line="240" w:lineRule="auto"/>
              <w:rPr>
                <w:b/>
                <w:bCs/>
                <w:color w:val="000000" w:themeColor="text1"/>
                <w:highlight w:val="yellow"/>
                <w14:textFill>
                  <w14:solidFill>
                    <w14:schemeClr w14:val="tx1"/>
                  </w14:solidFill>
                </w14:textFill>
              </w:rPr>
            </w:pPr>
            <w:r>
              <w:rPr>
                <w:rFonts w:hint="eastAsia"/>
                <w:b/>
                <w:color w:val="000000" w:themeColor="text1"/>
                <w:sz w:val="18"/>
                <w:szCs w:val="18"/>
                <w:highlight w:val="yellow"/>
                <w14:textFill>
                  <w14:solidFill>
                    <w14:schemeClr w14:val="tx1"/>
                  </w14:solidFill>
                </w14:textFill>
              </w:rPr>
              <w:t>社会</w:t>
            </w:r>
            <w:r>
              <w:rPr>
                <w:b/>
                <w:color w:val="000000" w:themeColor="text1"/>
                <w:sz w:val="18"/>
                <w:szCs w:val="18"/>
                <w:highlight w:val="yellow"/>
                <w14:textFill>
                  <w14:solidFill>
                    <w14:schemeClr w14:val="tx1"/>
                  </w14:solidFill>
                </w14:textFill>
              </w:rPr>
              <w:t>实践</w:t>
            </w:r>
          </w:p>
        </w:tc>
        <w:tc>
          <w:tcPr>
            <w:tcW w:w="708" w:type="dxa"/>
            <w:vAlign w:val="center"/>
          </w:tcPr>
          <w:p w14:paraId="216DA1E4">
            <w:pPr>
              <w:pStyle w:val="8"/>
              <w:spacing w:line="240" w:lineRule="auto"/>
              <w:rPr>
                <w:b/>
                <w:bCs/>
                <w:color w:val="000000" w:themeColor="text1"/>
                <w:sz w:val="18"/>
                <w:szCs w:val="18"/>
                <w:highlight w:val="yellow"/>
                <w14:textFill>
                  <w14:solidFill>
                    <w14:schemeClr w14:val="tx1"/>
                  </w14:solidFill>
                </w14:textFill>
              </w:rPr>
            </w:pPr>
            <w:r>
              <w:rPr>
                <w:color w:val="000000" w:themeColor="text1"/>
                <w:sz w:val="18"/>
                <w:szCs w:val="18"/>
                <w14:textFill>
                  <w14:solidFill>
                    <w14:schemeClr w14:val="tx1"/>
                  </w14:solidFill>
                </w14:textFill>
              </w:rPr>
              <w:t>1</w:t>
            </w:r>
          </w:p>
        </w:tc>
        <w:tc>
          <w:tcPr>
            <w:tcW w:w="709" w:type="dxa"/>
            <w:vAlign w:val="center"/>
          </w:tcPr>
          <w:p w14:paraId="70E31A57">
            <w:pPr>
              <w:pStyle w:val="8"/>
              <w:spacing w:line="240" w:lineRule="auto"/>
              <w:rPr>
                <w:b/>
                <w:bCs/>
                <w:color w:val="000000" w:themeColor="text1"/>
                <w:sz w:val="18"/>
                <w:szCs w:val="18"/>
                <w:highlight w:val="yellow"/>
                <w14:textFill>
                  <w14:solidFill>
                    <w14:schemeClr w14:val="tx1"/>
                  </w14:solidFill>
                </w14:textFill>
              </w:rPr>
            </w:pPr>
            <w:r>
              <w:rPr>
                <w:color w:val="000000" w:themeColor="text1"/>
                <w:sz w:val="18"/>
                <w:szCs w:val="18"/>
                <w14:textFill>
                  <w14:solidFill>
                    <w14:schemeClr w14:val="tx1"/>
                  </w14:solidFill>
                </w14:textFill>
              </w:rPr>
              <w:t>1-4</w:t>
            </w:r>
          </w:p>
        </w:tc>
        <w:tc>
          <w:tcPr>
            <w:tcW w:w="851" w:type="dxa"/>
            <w:vAlign w:val="center"/>
          </w:tcPr>
          <w:p w14:paraId="7CB1853D">
            <w:pPr>
              <w:pStyle w:val="8"/>
              <w:spacing w:line="240" w:lineRule="auto"/>
              <w:rPr>
                <w:b/>
                <w:bCs/>
                <w:color w:val="000000" w:themeColor="text1"/>
                <w:sz w:val="18"/>
                <w:szCs w:val="18"/>
                <w:highlight w:val="yellow"/>
                <w14:textFill>
                  <w14:solidFill>
                    <w14:schemeClr w14:val="tx1"/>
                  </w14:solidFill>
                </w14:textFill>
              </w:rPr>
            </w:pPr>
          </w:p>
        </w:tc>
      </w:tr>
      <w:tr w14:paraId="7538C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468" w:type="dxa"/>
            <w:gridSpan w:val="2"/>
            <w:vMerge w:val="continue"/>
          </w:tcPr>
          <w:p w14:paraId="02149A7D">
            <w:pPr>
              <w:pStyle w:val="8"/>
              <w:spacing w:line="240" w:lineRule="auto"/>
              <w:rPr>
                <w:color w:val="000000" w:themeColor="text1"/>
                <w:sz w:val="18"/>
                <w:szCs w:val="18"/>
                <w14:textFill>
                  <w14:solidFill>
                    <w14:schemeClr w14:val="tx1"/>
                  </w14:solidFill>
                </w14:textFill>
              </w:rPr>
            </w:pPr>
          </w:p>
        </w:tc>
        <w:tc>
          <w:tcPr>
            <w:tcW w:w="1134" w:type="dxa"/>
            <w:vAlign w:val="center"/>
          </w:tcPr>
          <w:p w14:paraId="446BDC1A">
            <w:pPr>
              <w:pStyle w:val="8"/>
              <w:spacing w:line="240" w:lineRule="auto"/>
              <w:rPr>
                <w:color w:val="000000" w:themeColor="text1"/>
                <w:sz w:val="18"/>
                <w:szCs w:val="18"/>
                <w14:textFill>
                  <w14:solidFill>
                    <w14:schemeClr w14:val="tx1"/>
                  </w14:solidFill>
                </w14:textFill>
              </w:rPr>
            </w:pPr>
          </w:p>
        </w:tc>
        <w:tc>
          <w:tcPr>
            <w:tcW w:w="3686" w:type="dxa"/>
            <w:vAlign w:val="center"/>
          </w:tcPr>
          <w:p w14:paraId="1517FAB2">
            <w:pPr>
              <w:pStyle w:val="8"/>
              <w:spacing w:line="240" w:lineRule="auto"/>
              <w:rPr>
                <w:b/>
                <w:bCs/>
                <w:color w:val="000000" w:themeColor="text1"/>
                <w:highlight w:val="yellow"/>
                <w14:textFill>
                  <w14:solidFill>
                    <w14:schemeClr w14:val="tx1"/>
                  </w14:solidFill>
                </w14:textFill>
              </w:rPr>
            </w:pPr>
            <w:r>
              <w:rPr>
                <w:color w:val="000000" w:themeColor="text1"/>
                <w:sz w:val="18"/>
                <w:szCs w:val="18"/>
                <w14:textFill>
                  <w14:solidFill>
                    <w14:schemeClr w14:val="tx1"/>
                  </w14:solidFill>
                </w14:textFill>
              </w:rPr>
              <w:t>学术讲座与综合素养教育</w:t>
            </w:r>
          </w:p>
        </w:tc>
        <w:tc>
          <w:tcPr>
            <w:tcW w:w="708" w:type="dxa"/>
            <w:vAlign w:val="center"/>
          </w:tcPr>
          <w:p w14:paraId="5016699E">
            <w:pPr>
              <w:pStyle w:val="8"/>
              <w:spacing w:line="240" w:lineRule="auto"/>
              <w:rPr>
                <w:b/>
                <w:bCs/>
                <w:color w:val="000000" w:themeColor="text1"/>
                <w:sz w:val="18"/>
                <w:szCs w:val="18"/>
                <w:highlight w:val="yellow"/>
                <w14:textFill>
                  <w14:solidFill>
                    <w14:schemeClr w14:val="tx1"/>
                  </w14:solidFill>
                </w14:textFill>
              </w:rPr>
            </w:pPr>
            <w:r>
              <w:rPr>
                <w:color w:val="000000" w:themeColor="text1"/>
                <w:sz w:val="18"/>
                <w:szCs w:val="18"/>
                <w14:textFill>
                  <w14:solidFill>
                    <w14:schemeClr w14:val="tx1"/>
                  </w14:solidFill>
                </w14:textFill>
              </w:rPr>
              <w:t>1</w:t>
            </w:r>
          </w:p>
        </w:tc>
        <w:tc>
          <w:tcPr>
            <w:tcW w:w="709" w:type="dxa"/>
            <w:vAlign w:val="center"/>
          </w:tcPr>
          <w:p w14:paraId="5E544492">
            <w:pPr>
              <w:pStyle w:val="8"/>
              <w:spacing w:line="240" w:lineRule="auto"/>
              <w:rPr>
                <w:b/>
                <w:bCs/>
                <w:color w:val="000000" w:themeColor="text1"/>
                <w:sz w:val="18"/>
                <w:szCs w:val="18"/>
                <w:highlight w:val="yellow"/>
                <w14:textFill>
                  <w14:solidFill>
                    <w14:schemeClr w14:val="tx1"/>
                  </w14:solidFill>
                </w14:textFill>
              </w:rPr>
            </w:pPr>
            <w:r>
              <w:rPr>
                <w:color w:val="000000" w:themeColor="text1"/>
                <w:sz w:val="18"/>
                <w:szCs w:val="18"/>
                <w14:textFill>
                  <w14:solidFill>
                    <w14:schemeClr w14:val="tx1"/>
                  </w14:solidFill>
                </w14:textFill>
              </w:rPr>
              <w:t>1-4</w:t>
            </w:r>
          </w:p>
        </w:tc>
        <w:tc>
          <w:tcPr>
            <w:tcW w:w="851" w:type="dxa"/>
            <w:vAlign w:val="center"/>
          </w:tcPr>
          <w:p w14:paraId="3802113E">
            <w:pPr>
              <w:pStyle w:val="8"/>
              <w:spacing w:line="240" w:lineRule="auto"/>
              <w:rPr>
                <w:b/>
                <w:bCs/>
                <w:color w:val="000000" w:themeColor="text1"/>
                <w:sz w:val="18"/>
                <w:szCs w:val="18"/>
                <w:highlight w:val="yellow"/>
                <w14:textFill>
                  <w14:solidFill>
                    <w14:schemeClr w14:val="tx1"/>
                  </w14:solidFill>
                </w14:textFill>
              </w:rPr>
            </w:pPr>
          </w:p>
        </w:tc>
      </w:tr>
      <w:tr w14:paraId="6B304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468" w:type="dxa"/>
            <w:gridSpan w:val="2"/>
            <w:vAlign w:val="center"/>
          </w:tcPr>
          <w:p w14:paraId="7775F5A9">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补修课程</w:t>
            </w:r>
          </w:p>
        </w:tc>
        <w:tc>
          <w:tcPr>
            <w:tcW w:w="1134" w:type="dxa"/>
            <w:vAlign w:val="center"/>
          </w:tcPr>
          <w:p w14:paraId="50EE6547">
            <w:pPr>
              <w:pStyle w:val="8"/>
              <w:spacing w:line="240" w:lineRule="auto"/>
              <w:rPr>
                <w:color w:val="000000" w:themeColor="text1"/>
                <w:sz w:val="18"/>
                <w:szCs w:val="18"/>
                <w14:textFill>
                  <w14:solidFill>
                    <w14:schemeClr w14:val="tx1"/>
                  </w14:solidFill>
                </w14:textFill>
              </w:rPr>
            </w:pPr>
          </w:p>
        </w:tc>
        <w:tc>
          <w:tcPr>
            <w:tcW w:w="3686" w:type="dxa"/>
            <w:vAlign w:val="center"/>
          </w:tcPr>
          <w:p w14:paraId="486B8340">
            <w:pPr>
              <w:pStyle w:val="8"/>
              <w:spacing w:line="240" w:lineRule="auto"/>
              <w:rPr>
                <w:color w:val="000000" w:themeColor="text1"/>
                <w14:textFill>
                  <w14:solidFill>
                    <w14:schemeClr w14:val="tx1"/>
                  </w14:solidFill>
                </w14:textFill>
              </w:rPr>
            </w:pPr>
          </w:p>
        </w:tc>
        <w:tc>
          <w:tcPr>
            <w:tcW w:w="708" w:type="dxa"/>
            <w:vAlign w:val="center"/>
          </w:tcPr>
          <w:p w14:paraId="44B75191">
            <w:pPr>
              <w:pStyle w:val="8"/>
              <w:spacing w:line="240" w:lineRule="auto"/>
              <w:rPr>
                <w:color w:val="000000" w:themeColor="text1"/>
                <w14:textFill>
                  <w14:solidFill>
                    <w14:schemeClr w14:val="tx1"/>
                  </w14:solidFill>
                </w14:textFill>
              </w:rPr>
            </w:pPr>
          </w:p>
        </w:tc>
        <w:tc>
          <w:tcPr>
            <w:tcW w:w="709" w:type="dxa"/>
            <w:vAlign w:val="center"/>
          </w:tcPr>
          <w:p w14:paraId="31F7EA14">
            <w:pPr>
              <w:pStyle w:val="8"/>
              <w:spacing w:line="240" w:lineRule="auto"/>
              <w:rPr>
                <w:color w:val="000000" w:themeColor="text1"/>
                <w14:textFill>
                  <w14:solidFill>
                    <w14:schemeClr w14:val="tx1"/>
                  </w14:solidFill>
                </w14:textFill>
              </w:rPr>
            </w:pPr>
          </w:p>
        </w:tc>
        <w:tc>
          <w:tcPr>
            <w:tcW w:w="851" w:type="dxa"/>
            <w:vAlign w:val="center"/>
          </w:tcPr>
          <w:p w14:paraId="635A6AF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不计</w:t>
            </w:r>
          </w:p>
          <w:p w14:paraId="3DB92574">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学分</w:t>
            </w:r>
          </w:p>
        </w:tc>
      </w:tr>
    </w:tbl>
    <w:p w14:paraId="362E93CD">
      <w:pPr>
        <w:widowControl/>
        <w:spacing w:line="360" w:lineRule="auto"/>
        <w:ind w:firstLine="480" w:firstLineChars="200"/>
        <w:jc w:val="left"/>
        <w:rPr>
          <w:rFonts w:asciiTheme="minorEastAsia" w:hAnsiTheme="minorEastAsia" w:eastAsiaTheme="minorEastAsia" w:cstheme="minorEastAsia"/>
          <w:color w:val="000000" w:themeColor="text1"/>
          <w:kern w:val="0"/>
          <w:sz w:val="24"/>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lang w:bidi="ar"/>
          <w14:textFill>
            <w14:solidFill>
              <w14:schemeClr w14:val="tx1"/>
            </w14:solidFill>
          </w14:textFill>
        </w:rPr>
        <w:t>注：1）学分抵扣，为满足社会多元化需求和学生个性化培养的要求，凡在科研成果、创新创业、社会工作获得突出成绩的，经研究生申请、院部认定后，可以冲抵一定选修课学分。具体内容参照相关文件规定。</w:t>
      </w:r>
    </w:p>
    <w:p w14:paraId="739C58A8">
      <w:pPr>
        <w:widowControl/>
        <w:spacing w:line="360" w:lineRule="auto"/>
        <w:ind w:firstLine="480" w:firstLineChars="200"/>
        <w:jc w:val="left"/>
        <w:rPr>
          <w:rFonts w:asciiTheme="minorEastAsia" w:hAnsiTheme="minorEastAsia" w:eastAsiaTheme="minorEastAsia" w:cstheme="minorEastAsia"/>
          <w:color w:val="000000" w:themeColor="text1"/>
          <w:kern w:val="0"/>
          <w:sz w:val="24"/>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lang w:bidi="ar"/>
          <w14:textFill>
            <w14:solidFill>
              <w14:schemeClr w14:val="tx1"/>
            </w14:solidFill>
          </w14:textFill>
        </w:rPr>
        <w:t>2）工科类实验室安全教育，在课程中需明确学时要求。</w:t>
      </w:r>
    </w:p>
    <w:p w14:paraId="369E3761">
      <w:pPr>
        <w:widowControl/>
        <w:spacing w:line="360" w:lineRule="auto"/>
        <w:ind w:firstLine="480" w:firstLineChars="200"/>
        <w:jc w:val="left"/>
        <w:rPr>
          <w:rFonts w:asciiTheme="minorEastAsia" w:hAnsiTheme="minorEastAsia" w:eastAsiaTheme="minorEastAsia" w:cstheme="minorEastAsia"/>
          <w:color w:val="000000" w:themeColor="text1"/>
          <w:kern w:val="0"/>
          <w:sz w:val="24"/>
          <w:highlight w:val="yellow"/>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3）《科学道德与学术规范》</w:t>
      </w:r>
      <w:r>
        <w:rPr>
          <w:rFonts w:hint="eastAsia" w:asciiTheme="minorEastAsia" w:hAnsiTheme="minorEastAsia" w:eastAsiaTheme="minorEastAsia" w:cstheme="minorEastAsia"/>
          <w:color w:val="000000" w:themeColor="text1"/>
          <w:kern w:val="0"/>
          <w:sz w:val="24"/>
          <w:highlight w:val="yellow"/>
          <w:lang w:val="en-US" w:eastAsia="zh-CN" w:bidi="ar"/>
          <w14:textFill>
            <w14:solidFill>
              <w14:schemeClr w14:val="tx1"/>
            </w14:solidFill>
          </w14:textFill>
        </w:rPr>
        <w:t>课程的授课与考核由电气工程学部负责</w:t>
      </w: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实施。</w:t>
      </w:r>
    </w:p>
    <w:p w14:paraId="2F7E2147">
      <w:pPr>
        <w:widowControl/>
        <w:spacing w:line="360" w:lineRule="auto"/>
        <w:ind w:firstLine="480" w:firstLineChars="200"/>
        <w:jc w:val="left"/>
        <w:rPr>
          <w:rFonts w:asciiTheme="minorEastAsia" w:hAnsiTheme="minorEastAsia" w:eastAsiaTheme="minorEastAsia" w:cstheme="minorEastAsia"/>
          <w:color w:val="000000" w:themeColor="text1"/>
          <w:kern w:val="0"/>
          <w:sz w:val="24"/>
          <w:highlight w:val="yellow"/>
          <w:lang w:bidi="ar"/>
          <w14:textFill>
            <w14:solidFill>
              <w14:schemeClr w14:val="tx1"/>
            </w14:solidFill>
          </w14:textFill>
        </w:rPr>
      </w:pPr>
      <w:r>
        <w:rPr>
          <w:rFonts w:asciiTheme="minorEastAsia" w:hAnsiTheme="minorEastAsia" w:eastAsiaTheme="minorEastAsia" w:cstheme="minorEastAsia"/>
          <w:color w:val="000000" w:themeColor="text1"/>
          <w:kern w:val="0"/>
          <w:sz w:val="24"/>
          <w:highlight w:val="yellow"/>
          <w:lang w:bidi="ar"/>
          <w14:textFill>
            <w14:solidFill>
              <w14:schemeClr w14:val="tx1"/>
            </w14:solidFill>
          </w14:textFill>
        </w:rPr>
        <w:t>4</w:t>
      </w: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）《人工智能通识课》课程的</w:t>
      </w:r>
      <w:r>
        <w:rPr>
          <w:rFonts w:hint="eastAsia" w:asciiTheme="minorEastAsia" w:hAnsiTheme="minorEastAsia" w:eastAsiaTheme="minorEastAsia" w:cstheme="minorEastAsia"/>
          <w:color w:val="000000" w:themeColor="text1"/>
          <w:kern w:val="0"/>
          <w:sz w:val="24"/>
          <w:highlight w:val="yellow"/>
          <w:lang w:val="en-US" w:eastAsia="zh-CN" w:bidi="ar"/>
          <w14:textFill>
            <w14:solidFill>
              <w14:schemeClr w14:val="tx1"/>
            </w14:solidFill>
          </w14:textFill>
        </w:rPr>
        <w:t>授课与考核由人工智能学部负责</w:t>
      </w: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实施。</w:t>
      </w:r>
    </w:p>
    <w:p w14:paraId="63A99B9A">
      <w:pPr>
        <w:autoSpaceDE w:val="0"/>
        <w:autoSpaceDN w:val="0"/>
        <w:adjustRightInd w:val="0"/>
        <w:spacing w:line="360" w:lineRule="auto"/>
        <w:jc w:val="left"/>
        <w:rPr>
          <w:rFonts w:ascii="宋体" w:hAnsi="宋体" w:cs="黑体"/>
          <w:b/>
          <w:color w:val="000000" w:themeColor="text1"/>
          <w:kern w:val="0"/>
          <w:sz w:val="24"/>
          <w14:textFill>
            <w14:solidFill>
              <w14:schemeClr w14:val="tx1"/>
            </w14:solidFill>
          </w14:textFill>
        </w:rPr>
      </w:pPr>
      <w:r>
        <w:rPr>
          <w:rFonts w:hint="eastAsia" w:ascii="宋体" w:hAnsi="宋体" w:cs="黑体"/>
          <w:b/>
          <w:color w:val="000000" w:themeColor="text1"/>
          <w:kern w:val="0"/>
          <w:sz w:val="24"/>
          <w14:textFill>
            <w14:solidFill>
              <w14:schemeClr w14:val="tx1"/>
            </w14:solidFill>
          </w14:textFill>
        </w:rPr>
        <w:t>（3）必修环节（2学分）</w:t>
      </w:r>
    </w:p>
    <w:p w14:paraId="4040BF13">
      <w:p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hint="eastAsia" w:ascii="宋体" w:hAnsi="宋体" w:cs="仿宋_GB2312"/>
          <w:b/>
          <w:color w:val="000000" w:themeColor="text1"/>
          <w:kern w:val="0"/>
          <w:sz w:val="24"/>
          <w14:textFill>
            <w14:solidFill>
              <w14:schemeClr w14:val="tx1"/>
            </w14:solidFill>
          </w14:textFill>
        </w:rPr>
        <w:t>1）社会</w:t>
      </w:r>
      <w:r>
        <w:rPr>
          <w:rFonts w:ascii="宋体" w:hAnsi="宋体" w:cs="仿宋_GB2312"/>
          <w:b/>
          <w:color w:val="000000" w:themeColor="text1"/>
          <w:kern w:val="0"/>
          <w:sz w:val="24"/>
          <w14:textFill>
            <w14:solidFill>
              <w14:schemeClr w14:val="tx1"/>
            </w14:solidFill>
          </w14:textFill>
        </w:rPr>
        <w:t>实践（</w:t>
      </w:r>
      <w:r>
        <w:rPr>
          <w:rFonts w:hint="eastAsia" w:ascii="宋体" w:hAnsi="宋体" w:cs="仿宋_GB2312"/>
          <w:b/>
          <w:color w:val="000000" w:themeColor="text1"/>
          <w:kern w:val="0"/>
          <w:sz w:val="24"/>
          <w14:textFill>
            <w14:solidFill>
              <w14:schemeClr w14:val="tx1"/>
            </w14:solidFill>
          </w14:textFill>
        </w:rPr>
        <w:t>1</w:t>
      </w:r>
      <w:r>
        <w:rPr>
          <w:rFonts w:ascii="宋体" w:hAnsi="宋体" w:cs="仿宋_GB2312"/>
          <w:b/>
          <w:color w:val="000000" w:themeColor="text1"/>
          <w:kern w:val="0"/>
          <w:sz w:val="24"/>
          <w14:textFill>
            <w14:solidFill>
              <w14:schemeClr w14:val="tx1"/>
            </w14:solidFill>
          </w14:textFill>
        </w:rPr>
        <w:t>学分）</w:t>
      </w:r>
    </w:p>
    <w:p w14:paraId="53DCFD0F">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由各院部进行指导</w:t>
      </w:r>
      <w:r>
        <w:rPr>
          <w:rFonts w:ascii="宋体" w:hAnsi="宋体" w:cs="仿宋_GB2312"/>
          <w:color w:val="000000" w:themeColor="text1"/>
          <w:kern w:val="0"/>
          <w:sz w:val="24"/>
          <w14:textFill>
            <w14:solidFill>
              <w14:schemeClr w14:val="tx1"/>
            </w14:solidFill>
          </w14:textFill>
        </w:rPr>
        <w:t>并负责考核</w:t>
      </w:r>
      <w:r>
        <w:rPr>
          <w:rFonts w:hint="eastAsia" w:ascii="宋体" w:hAnsi="宋体" w:cs="仿宋_GB2312"/>
          <w:color w:val="000000" w:themeColor="text1"/>
          <w:kern w:val="0"/>
          <w:sz w:val="24"/>
          <w14:textFill>
            <w14:solidFill>
              <w14:schemeClr w14:val="tx1"/>
            </w14:solidFill>
          </w14:textFill>
        </w:rPr>
        <w:t>。各院部应制定明确的任务要求和考核指标。研究生撰写“社会实践总结报告”。</w:t>
      </w:r>
    </w:p>
    <w:p w14:paraId="66E3A532">
      <w:pPr>
        <w:numPr>
          <w:ilvl w:val="0"/>
          <w:numId w:val="1"/>
        </w:num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hint="eastAsia" w:ascii="宋体" w:hAnsi="宋体" w:cs="仿宋_GB2312"/>
          <w:b/>
          <w:color w:val="000000" w:themeColor="text1"/>
          <w:kern w:val="0"/>
          <w:sz w:val="24"/>
          <w14:textFill>
            <w14:solidFill>
              <w14:schemeClr w14:val="tx1"/>
            </w14:solidFill>
          </w14:textFill>
        </w:rPr>
        <w:t>学术讲座与综合素养教育</w:t>
      </w:r>
      <w:r>
        <w:rPr>
          <w:rFonts w:ascii="宋体" w:hAnsi="宋体" w:cs="仿宋_GB2312"/>
          <w:b/>
          <w:color w:val="000000" w:themeColor="text1"/>
          <w:kern w:val="0"/>
          <w:sz w:val="24"/>
          <w14:textFill>
            <w14:solidFill>
              <w14:schemeClr w14:val="tx1"/>
            </w14:solidFill>
          </w14:textFill>
        </w:rPr>
        <w:t>（</w:t>
      </w:r>
      <w:r>
        <w:rPr>
          <w:rFonts w:hint="eastAsia" w:ascii="宋体" w:hAnsi="宋体" w:cs="仿宋_GB2312"/>
          <w:b/>
          <w:color w:val="000000" w:themeColor="text1"/>
          <w:kern w:val="0"/>
          <w:sz w:val="24"/>
          <w14:textFill>
            <w14:solidFill>
              <w14:schemeClr w14:val="tx1"/>
            </w14:solidFill>
          </w14:textFill>
        </w:rPr>
        <w:t>1</w:t>
      </w:r>
      <w:r>
        <w:rPr>
          <w:rFonts w:ascii="宋体" w:hAnsi="宋体" w:cs="仿宋_GB2312"/>
          <w:b/>
          <w:color w:val="000000" w:themeColor="text1"/>
          <w:kern w:val="0"/>
          <w:sz w:val="24"/>
          <w14:textFill>
            <w14:solidFill>
              <w14:schemeClr w14:val="tx1"/>
            </w14:solidFill>
          </w14:textFill>
        </w:rPr>
        <w:t>学分）</w:t>
      </w:r>
    </w:p>
    <w:p w14:paraId="58AEB1A1">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ascii="宋体" w:hAnsi="宋体" w:cs="仿宋_GB2312"/>
          <w:color w:val="000000" w:themeColor="text1"/>
          <w:kern w:val="0"/>
          <w:sz w:val="24"/>
          <w14:textFill>
            <w14:solidFill>
              <w14:schemeClr w14:val="tx1"/>
            </w14:solidFill>
          </w14:textFill>
        </w:rPr>
        <w:t>在校期间参加不少于8次学术</w:t>
      </w:r>
      <w:r>
        <w:rPr>
          <w:rFonts w:hint="eastAsia" w:ascii="宋体" w:hAnsi="宋体" w:cs="仿宋_GB2312"/>
          <w:color w:val="000000" w:themeColor="text1"/>
          <w:kern w:val="0"/>
          <w:sz w:val="24"/>
          <w14:textFill>
            <w14:solidFill>
              <w14:schemeClr w14:val="tx1"/>
            </w14:solidFill>
          </w14:textFill>
        </w:rPr>
        <w:t>报告（其中包含至少2次科学道德与学风建设宣讲报告），并撰写2篇不少于1000字的</w:t>
      </w:r>
      <w:r>
        <w:rPr>
          <w:rFonts w:ascii="宋体" w:hAnsi="宋体" w:cs="仿宋_GB2312"/>
          <w:color w:val="000000" w:themeColor="text1"/>
          <w:kern w:val="0"/>
          <w:sz w:val="24"/>
          <w14:textFill>
            <w14:solidFill>
              <w14:schemeClr w14:val="tx1"/>
            </w14:solidFill>
          </w14:textFill>
        </w:rPr>
        <w:t>总结报告。</w:t>
      </w:r>
    </w:p>
    <w:p w14:paraId="0FA695A0">
      <w:pPr>
        <w:spacing w:line="276" w:lineRule="auto"/>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6.学位论文</w:t>
      </w:r>
    </w:p>
    <w:p w14:paraId="64A455CF">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ascii="宋体" w:hAnsi="宋体" w:cs="仿宋_GB2312"/>
          <w:color w:val="000000" w:themeColor="text1"/>
          <w:kern w:val="0"/>
          <w:sz w:val="24"/>
          <w14:textFill>
            <w14:solidFill>
              <w14:schemeClr w14:val="tx1"/>
            </w14:solidFill>
          </w14:textFill>
        </w:rPr>
        <w:t>所有研究生必须在导师指导下完成一篇达到</w:t>
      </w:r>
      <w:r>
        <w:rPr>
          <w:rFonts w:hint="eastAsia" w:ascii="宋体" w:hAnsi="宋体" w:cs="仿宋_GB2312"/>
          <w:color w:val="000000" w:themeColor="text1"/>
          <w:kern w:val="0"/>
          <w:sz w:val="24"/>
          <w14:textFill>
            <w14:solidFill>
              <w14:schemeClr w14:val="tx1"/>
            </w14:solidFill>
          </w14:textFill>
        </w:rPr>
        <w:t>学位</w:t>
      </w:r>
      <w:r>
        <w:rPr>
          <w:rFonts w:ascii="宋体" w:hAnsi="宋体" w:cs="仿宋_GB2312"/>
          <w:color w:val="000000" w:themeColor="text1"/>
          <w:kern w:val="0"/>
          <w:sz w:val="24"/>
          <w14:textFill>
            <w14:solidFill>
              <w14:schemeClr w14:val="tx1"/>
            </w14:solidFill>
          </w14:textFill>
        </w:rPr>
        <w:t>要求的学位论文。学位论文要反映研究生在本学科领域研究中达到的学术水平，表明本人较好地掌握了本学科的基础理论、专门知识和基本技能，具有从事本学科或相关学科科学研究工作的能力。</w:t>
      </w:r>
    </w:p>
    <w:p w14:paraId="228524D5">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w:t>
      </w:r>
      <w:r>
        <w:rPr>
          <w:rFonts w:ascii="宋体" w:hAnsi="宋体" w:cs="仿宋_GB2312"/>
          <w:color w:val="000000" w:themeColor="text1"/>
          <w:kern w:val="0"/>
          <w:sz w:val="24"/>
          <w14:textFill>
            <w14:solidFill>
              <w14:schemeClr w14:val="tx1"/>
            </w14:solidFill>
          </w14:textFill>
        </w:rPr>
        <w:t>1</w:t>
      </w:r>
      <w:r>
        <w:rPr>
          <w:rFonts w:hint="eastAsia" w:ascii="宋体" w:hAnsi="宋体" w:cs="仿宋_GB2312"/>
          <w:color w:val="000000" w:themeColor="text1"/>
          <w:kern w:val="0"/>
          <w:sz w:val="24"/>
          <w14:textFill>
            <w14:solidFill>
              <w14:schemeClr w14:val="tx1"/>
            </w14:solidFill>
          </w14:textFill>
        </w:rPr>
        <w:t>）</w:t>
      </w:r>
      <w:r>
        <w:rPr>
          <w:rFonts w:ascii="宋体" w:hAnsi="宋体" w:cs="仿宋_GB2312"/>
          <w:color w:val="000000" w:themeColor="text1"/>
          <w:kern w:val="0"/>
          <w:sz w:val="24"/>
          <w14:textFill>
            <w14:solidFill>
              <w14:schemeClr w14:val="tx1"/>
            </w14:solidFill>
          </w14:textFill>
        </w:rPr>
        <w:t>学位论文包含开题报告、中期检查、论文评审与答辩等环节，各环节的时间节点和具体要求，按学校相关规定和各</w:t>
      </w:r>
      <w:r>
        <w:rPr>
          <w:rFonts w:hint="eastAsia" w:ascii="宋体" w:hAnsi="宋体" w:cs="仿宋_GB2312"/>
          <w:color w:val="000000" w:themeColor="text1"/>
          <w:kern w:val="0"/>
          <w:sz w:val="24"/>
          <w14:textFill>
            <w14:solidFill>
              <w14:schemeClr w14:val="tx1"/>
            </w14:solidFill>
          </w14:textFill>
        </w:rPr>
        <w:t>学科</w:t>
      </w:r>
      <w:r>
        <w:rPr>
          <w:rFonts w:ascii="宋体" w:hAnsi="宋体" w:cs="仿宋_GB2312"/>
          <w:color w:val="000000" w:themeColor="text1"/>
          <w:kern w:val="0"/>
          <w:sz w:val="24"/>
          <w14:textFill>
            <w14:solidFill>
              <w14:schemeClr w14:val="tx1"/>
            </w14:solidFill>
          </w14:textFill>
        </w:rPr>
        <w:t>专业具体要求执行</w:t>
      </w:r>
      <w:r>
        <w:rPr>
          <w:rFonts w:hint="eastAsia" w:ascii="宋体" w:hAnsi="宋体" w:cs="仿宋_GB2312"/>
          <w:color w:val="000000" w:themeColor="text1"/>
          <w:kern w:val="0"/>
          <w:sz w:val="24"/>
          <w14:textFill>
            <w14:solidFill>
              <w14:schemeClr w14:val="tx1"/>
            </w14:solidFill>
          </w14:textFill>
        </w:rPr>
        <w:t>。</w:t>
      </w:r>
    </w:p>
    <w:p w14:paraId="50EAF0DD">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学位论文</w:t>
      </w:r>
      <w:r>
        <w:rPr>
          <w:rFonts w:hint="eastAsia"/>
          <w:color w:val="000000" w:themeColor="text1"/>
          <w:sz w:val="24"/>
          <w14:textFill>
            <w14:solidFill>
              <w14:schemeClr w14:val="tx1"/>
            </w14:solidFill>
          </w14:textFill>
        </w:rPr>
        <w:t>应是一篇系统而完整的学术论文，基本论点要有理论上的论证或实验验证，对所选用的研究方法，要加以严谨的论证，能表明作者具有从事学术研究工作的能力。</w:t>
      </w:r>
      <w:r>
        <w:rPr>
          <w:color w:val="000000" w:themeColor="text1"/>
          <w:sz w:val="24"/>
          <w14:textFill>
            <w14:solidFill>
              <w14:schemeClr w14:val="tx1"/>
            </w14:solidFill>
          </w14:textFill>
        </w:rPr>
        <w:t>学位论文必须由研究生独立完成</w:t>
      </w:r>
      <w:r>
        <w:rPr>
          <w:rFonts w:hint="eastAsia"/>
          <w:color w:val="000000" w:themeColor="text1"/>
          <w:sz w:val="24"/>
          <w14:textFill>
            <w14:solidFill>
              <w14:schemeClr w14:val="tx1"/>
            </w14:solidFill>
          </w14:textFill>
        </w:rPr>
        <w:t>，工作时间一般为1年</w:t>
      </w:r>
      <w:r>
        <w:rPr>
          <w:color w:val="000000" w:themeColor="text1"/>
          <w:sz w:val="24"/>
          <w14:textFill>
            <w14:solidFill>
              <w14:schemeClr w14:val="tx1"/>
            </w14:solidFill>
          </w14:textFill>
        </w:rPr>
        <w:t>。</w:t>
      </w:r>
    </w:p>
    <w:p w14:paraId="47D7D188">
      <w:pPr>
        <w:spacing w:line="360" w:lineRule="auto"/>
        <w:ind w:firstLine="470"/>
        <w:rPr>
          <w:color w:val="000000" w:themeColor="text1"/>
          <w:sz w:val="24"/>
          <w:highlight w:val="yellow"/>
          <w14:textFill>
            <w14:solidFill>
              <w14:schemeClr w14:val="tx1"/>
            </w14:solidFill>
          </w14:textFill>
        </w:rPr>
      </w:pPr>
      <w:r>
        <w:rPr>
          <w:rFonts w:hint="eastAsia"/>
          <w:color w:val="000000" w:themeColor="text1"/>
          <w:sz w:val="24"/>
          <w:highlight w:val="yellow"/>
          <w14:textFill>
            <w14:solidFill>
              <w14:schemeClr w14:val="tx1"/>
            </w14:solidFill>
          </w14:textFill>
        </w:rPr>
        <w:t>（</w:t>
      </w:r>
      <w:r>
        <w:rPr>
          <w:rFonts w:hint="eastAsia"/>
          <w:color w:val="000000" w:themeColor="text1"/>
          <w:sz w:val="24"/>
          <w:highlight w:val="yellow"/>
          <w:lang w:val="en-US" w:eastAsia="zh-CN"/>
          <w14:textFill>
            <w14:solidFill>
              <w14:schemeClr w14:val="tx1"/>
            </w14:solidFill>
          </w14:textFill>
        </w:rPr>
        <w:t>3</w:t>
      </w:r>
      <w:r>
        <w:rPr>
          <w:rFonts w:hint="eastAsia"/>
          <w:color w:val="000000" w:themeColor="text1"/>
          <w:sz w:val="24"/>
          <w:highlight w:val="yellow"/>
          <w14:textFill>
            <w14:solidFill>
              <w14:schemeClr w14:val="tx1"/>
            </w14:solidFill>
          </w14:textFill>
        </w:rPr>
        <w:t>）培养方案中须明确对学位论文的要求以及</w:t>
      </w:r>
      <w:r>
        <w:rPr>
          <w:rFonts w:hint="eastAsia"/>
          <w:color w:val="000000" w:themeColor="text1"/>
          <w:sz w:val="24"/>
          <w:highlight w:val="yellow"/>
          <w:lang w:val="en-US" w:eastAsia="zh-CN"/>
          <w14:textFill>
            <w14:solidFill>
              <w14:schemeClr w14:val="tx1"/>
            </w14:solidFill>
          </w14:textFill>
        </w:rPr>
        <w:t>学位授予的</w:t>
      </w:r>
      <w:r>
        <w:rPr>
          <w:rFonts w:hint="eastAsia"/>
          <w:color w:val="000000" w:themeColor="text1"/>
          <w:sz w:val="24"/>
          <w:highlight w:val="yellow"/>
          <w14:textFill>
            <w14:solidFill>
              <w14:schemeClr w14:val="tx1"/>
            </w14:solidFill>
          </w14:textFill>
        </w:rPr>
        <w:t>成果要求。</w:t>
      </w:r>
    </w:p>
    <w:p w14:paraId="56A88ADC">
      <w:pPr>
        <w:spacing w:line="276" w:lineRule="auto"/>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7.其他</w:t>
      </w:r>
    </w:p>
    <w:p w14:paraId="331030E8">
      <w:pPr>
        <w:autoSpaceDE w:val="0"/>
        <w:autoSpaceDN w:val="0"/>
        <w:adjustRightInd w:val="0"/>
        <w:spacing w:line="360" w:lineRule="auto"/>
        <w:ind w:firstLine="482" w:firstLineChars="200"/>
        <w:jc w:val="left"/>
        <w:rPr>
          <w:rFonts w:ascii="宋体" w:hAnsi="宋体" w:cs="仿宋_GB2312"/>
          <w:b/>
          <w:bCs/>
          <w:color w:val="000000" w:themeColor="text1"/>
          <w:kern w:val="0"/>
          <w:sz w:val="24"/>
          <w14:textFill>
            <w14:solidFill>
              <w14:schemeClr w14:val="tx1"/>
            </w14:solidFill>
          </w14:textFill>
        </w:rPr>
      </w:pPr>
      <w:r>
        <w:rPr>
          <w:rFonts w:hint="eastAsia" w:ascii="宋体" w:hAnsi="宋体" w:cs="仿宋_GB2312"/>
          <w:b/>
          <w:bCs/>
          <w:color w:val="000000" w:themeColor="text1"/>
          <w:kern w:val="0"/>
          <w:sz w:val="24"/>
          <w14:textFill>
            <w14:solidFill>
              <w14:schemeClr w14:val="tx1"/>
            </w14:solidFill>
          </w14:textFill>
        </w:rPr>
        <w:t>（</w:t>
      </w:r>
      <w:r>
        <w:rPr>
          <w:rFonts w:ascii="宋体" w:hAnsi="宋体" w:cs="仿宋_GB2312"/>
          <w:b/>
          <w:bCs/>
          <w:color w:val="000000" w:themeColor="text1"/>
          <w:kern w:val="0"/>
          <w:sz w:val="24"/>
          <w14:textFill>
            <w14:solidFill>
              <w14:schemeClr w14:val="tx1"/>
            </w14:solidFill>
          </w14:textFill>
        </w:rPr>
        <w:t>1</w:t>
      </w:r>
      <w:r>
        <w:rPr>
          <w:rFonts w:hint="eastAsia" w:ascii="宋体" w:hAnsi="宋体" w:cs="仿宋_GB2312"/>
          <w:b/>
          <w:bCs/>
          <w:color w:val="000000" w:themeColor="text1"/>
          <w:kern w:val="0"/>
          <w:sz w:val="24"/>
          <w14:textFill>
            <w14:solidFill>
              <w14:schemeClr w14:val="tx1"/>
            </w14:solidFill>
          </w14:textFill>
        </w:rPr>
        <w:t>）</w:t>
      </w:r>
      <w:r>
        <w:rPr>
          <w:rFonts w:ascii="宋体" w:hAnsi="宋体" w:cs="仿宋_GB2312"/>
          <w:b/>
          <w:bCs/>
          <w:color w:val="000000" w:themeColor="text1"/>
          <w:kern w:val="0"/>
          <w:sz w:val="24"/>
          <w14:textFill>
            <w14:solidFill>
              <w14:schemeClr w14:val="tx1"/>
            </w14:solidFill>
          </w14:textFill>
        </w:rPr>
        <w:t xml:space="preserve"> 培养计划的制定</w:t>
      </w:r>
    </w:p>
    <w:p w14:paraId="6A4367C8">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ascii="宋体" w:hAnsi="宋体" w:cs="仿宋_GB2312"/>
          <w:color w:val="000000" w:themeColor="text1"/>
          <w:kern w:val="0"/>
          <w:sz w:val="24"/>
          <w14:textFill>
            <w14:solidFill>
              <w14:schemeClr w14:val="tx1"/>
            </w14:solidFill>
          </w14:textFill>
        </w:rPr>
        <w:t>研究生应在入学后一个月内，在导师指导下根据本学科培养方案的要求和研究生本人的具体情况确定培养计划，并经指导教师审核同意和</w:t>
      </w:r>
      <w:r>
        <w:rPr>
          <w:rFonts w:hint="eastAsia" w:ascii="宋体" w:hAnsi="宋体" w:cs="仿宋_GB2312"/>
          <w:color w:val="000000" w:themeColor="text1"/>
          <w:kern w:val="0"/>
          <w:sz w:val="24"/>
          <w14:textFill>
            <w14:solidFill>
              <w14:schemeClr w14:val="tx1"/>
            </w14:solidFill>
          </w14:textFill>
        </w:rPr>
        <w:t>学位评定分委员会主席</w:t>
      </w:r>
      <w:r>
        <w:rPr>
          <w:rFonts w:ascii="宋体" w:hAnsi="宋体" w:cs="仿宋_GB2312"/>
          <w:color w:val="000000" w:themeColor="text1"/>
          <w:kern w:val="0"/>
          <w:sz w:val="24"/>
          <w14:textFill>
            <w14:solidFill>
              <w14:schemeClr w14:val="tx1"/>
            </w14:solidFill>
          </w14:textFill>
        </w:rPr>
        <w:t>签字确认，要求一式四份，其中一份由研究生本人保管，一份导师保存，一份存二级</w:t>
      </w:r>
      <w:r>
        <w:rPr>
          <w:rFonts w:hint="eastAsia" w:ascii="宋体" w:hAnsi="宋体" w:cs="仿宋_GB2312"/>
          <w:color w:val="000000" w:themeColor="text1"/>
          <w:kern w:val="0"/>
          <w:sz w:val="24"/>
          <w14:textFill>
            <w14:solidFill>
              <w14:schemeClr w14:val="tx1"/>
            </w14:solidFill>
          </w14:textFill>
        </w:rPr>
        <w:t>院部</w:t>
      </w:r>
      <w:r>
        <w:rPr>
          <w:rFonts w:ascii="宋体" w:hAnsi="宋体" w:cs="仿宋_GB2312"/>
          <w:color w:val="000000" w:themeColor="text1"/>
          <w:kern w:val="0"/>
          <w:sz w:val="24"/>
          <w14:textFill>
            <w14:solidFill>
              <w14:schemeClr w14:val="tx1"/>
            </w14:solidFill>
          </w14:textFill>
        </w:rPr>
        <w:t>存档，一份交研究生院备案。</w:t>
      </w:r>
    </w:p>
    <w:p w14:paraId="70E92EDA">
      <w:pPr>
        <w:autoSpaceDE w:val="0"/>
        <w:autoSpaceDN w:val="0"/>
        <w:adjustRightInd w:val="0"/>
        <w:spacing w:line="360" w:lineRule="auto"/>
        <w:ind w:firstLine="482" w:firstLineChars="200"/>
        <w:jc w:val="left"/>
        <w:rPr>
          <w:rFonts w:ascii="宋体" w:hAnsi="宋体" w:cs="仿宋_GB2312"/>
          <w:b/>
          <w:bCs/>
          <w:color w:val="000000" w:themeColor="text1"/>
          <w:kern w:val="0"/>
          <w:sz w:val="24"/>
          <w14:textFill>
            <w14:solidFill>
              <w14:schemeClr w14:val="tx1"/>
            </w14:solidFill>
          </w14:textFill>
        </w:rPr>
      </w:pPr>
      <w:r>
        <w:rPr>
          <w:rFonts w:hint="eastAsia" w:ascii="宋体" w:hAnsi="宋体" w:cs="仿宋_GB2312"/>
          <w:b/>
          <w:bCs/>
          <w:color w:val="000000" w:themeColor="text1"/>
          <w:kern w:val="0"/>
          <w:sz w:val="24"/>
          <w14:textFill>
            <w14:solidFill>
              <w14:schemeClr w14:val="tx1"/>
            </w14:solidFill>
          </w14:textFill>
        </w:rPr>
        <w:t>（</w:t>
      </w:r>
      <w:r>
        <w:rPr>
          <w:rFonts w:ascii="宋体" w:hAnsi="宋体" w:cs="仿宋_GB2312"/>
          <w:b/>
          <w:bCs/>
          <w:color w:val="000000" w:themeColor="text1"/>
          <w:kern w:val="0"/>
          <w:sz w:val="24"/>
          <w14:textFill>
            <w14:solidFill>
              <w14:schemeClr w14:val="tx1"/>
            </w14:solidFill>
          </w14:textFill>
        </w:rPr>
        <w:t>2</w:t>
      </w:r>
      <w:r>
        <w:rPr>
          <w:rFonts w:hint="eastAsia" w:ascii="宋体" w:hAnsi="宋体" w:cs="仿宋_GB2312"/>
          <w:b/>
          <w:bCs/>
          <w:color w:val="000000" w:themeColor="text1"/>
          <w:kern w:val="0"/>
          <w:sz w:val="24"/>
          <w14:textFill>
            <w14:solidFill>
              <w14:schemeClr w14:val="tx1"/>
            </w14:solidFill>
          </w14:textFill>
        </w:rPr>
        <w:t>）</w:t>
      </w:r>
      <w:r>
        <w:rPr>
          <w:rFonts w:ascii="宋体" w:hAnsi="宋体" w:cs="仿宋_GB2312"/>
          <w:b/>
          <w:bCs/>
          <w:color w:val="000000" w:themeColor="text1"/>
          <w:kern w:val="0"/>
          <w:sz w:val="24"/>
          <w14:textFill>
            <w14:solidFill>
              <w14:schemeClr w14:val="tx1"/>
            </w14:solidFill>
          </w14:textFill>
        </w:rPr>
        <w:t>毕业和授予学位标准</w:t>
      </w:r>
    </w:p>
    <w:p w14:paraId="5C4C257D">
      <w:pPr>
        <w:autoSpaceDE w:val="0"/>
        <w:autoSpaceDN w:val="0"/>
        <w:adjustRightInd w:val="0"/>
        <w:spacing w:line="360" w:lineRule="auto"/>
        <w:ind w:firstLine="480" w:firstLineChars="200"/>
        <w:jc w:val="left"/>
        <w:rPr>
          <w:rFonts w:eastAsia="等线"/>
          <w:color w:val="000000" w:themeColor="text1"/>
          <w:spacing w:val="-2"/>
          <w:szCs w:val="21"/>
          <w14:textFill>
            <w14:solidFill>
              <w14:schemeClr w14:val="tx1"/>
            </w14:solidFill>
          </w14:textFill>
        </w:rPr>
      </w:pPr>
      <w:r>
        <w:rPr>
          <w:rFonts w:ascii="宋体" w:hAnsi="宋体" w:cs="仿宋_GB2312"/>
          <w:color w:val="000000" w:themeColor="text1"/>
          <w:kern w:val="0"/>
          <w:sz w:val="24"/>
          <w14:textFill>
            <w14:solidFill>
              <w14:schemeClr w14:val="tx1"/>
            </w14:solidFill>
          </w14:textFill>
        </w:rPr>
        <w:t>修满规定学分，满足</w:t>
      </w:r>
      <w:r>
        <w:rPr>
          <w:rFonts w:hint="eastAsia" w:ascii="宋体" w:hAnsi="宋体" w:cs="仿宋_GB2312"/>
          <w:color w:val="000000" w:themeColor="text1"/>
          <w:kern w:val="0"/>
          <w:sz w:val="24"/>
          <w14:textFill>
            <w14:solidFill>
              <w14:schemeClr w14:val="tx1"/>
            </w14:solidFill>
          </w14:textFill>
        </w:rPr>
        <w:t>申请学位创新</w:t>
      </w:r>
      <w:r>
        <w:rPr>
          <w:rFonts w:ascii="宋体" w:hAnsi="宋体" w:cs="仿宋_GB2312"/>
          <w:color w:val="000000" w:themeColor="text1"/>
          <w:kern w:val="0"/>
          <w:sz w:val="24"/>
          <w14:textFill>
            <w14:solidFill>
              <w14:schemeClr w14:val="tx1"/>
            </w14:solidFill>
          </w14:textFill>
        </w:rPr>
        <w:t>成果要求，并通过学位论文答辩者，经校学位评定委员会审核批准后，授予其相应学位。毕业和授予学位标准按学校有关规定执行。</w:t>
      </w:r>
    </w:p>
    <w:p w14:paraId="4EFBDCFA">
      <w:pPr>
        <w:spacing w:before="156" w:beforeLines="50" w:after="156" w:afterLines="5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四、专业学位研究生培养方案要求</w:t>
      </w:r>
    </w:p>
    <w:p w14:paraId="206CEF9E">
      <w:pPr>
        <w:spacing w:line="360" w:lineRule="auto"/>
        <w:ind w:firstLine="480" w:firstLineChars="200"/>
        <w:rPr>
          <w:b/>
          <w:color w:val="000000" w:themeColor="text1"/>
          <w:sz w:val="24"/>
          <w:highlight w:val="yellow"/>
          <w14:textFill>
            <w14:solidFill>
              <w14:schemeClr w14:val="tx1"/>
            </w14:solidFill>
          </w14:textFill>
        </w:rPr>
      </w:pPr>
      <w:r>
        <w:rPr>
          <w:rFonts w:hint="eastAsia"/>
          <w:color w:val="000000" w:themeColor="text1"/>
          <w:sz w:val="24"/>
          <w:highlight w:val="yellow"/>
          <w14:textFill>
            <w14:solidFill>
              <w14:schemeClr w14:val="tx1"/>
            </w14:solidFill>
          </w14:textFill>
        </w:rPr>
        <w:t>对于同一培养单位，专业学位研究生培养方案原则上按照专业领域制定。同一专业学位类别内分不同培养单位的领域，可以考虑共建培养方案。</w:t>
      </w:r>
      <w:r>
        <w:rPr>
          <w:rFonts w:hint="eastAsia"/>
          <w:b/>
          <w:color w:val="000000" w:themeColor="text1"/>
          <w:sz w:val="24"/>
          <w:highlight w:val="yellow"/>
          <w14:textFill>
            <w14:solidFill>
              <w14:schemeClr w14:val="tx1"/>
            </w14:solidFill>
          </w14:textFill>
        </w:rPr>
        <w:t>专业学位研究生培养方案须满足全国专业学位研究生教育指导委员会指导性培养方案要求（各类别最新版：工程类2</w:t>
      </w:r>
      <w:r>
        <w:rPr>
          <w:b/>
          <w:color w:val="000000" w:themeColor="text1"/>
          <w:sz w:val="24"/>
          <w:highlight w:val="yellow"/>
          <w14:textFill>
            <w14:solidFill>
              <w14:schemeClr w14:val="tx1"/>
            </w14:solidFill>
          </w14:textFill>
        </w:rPr>
        <w:t>026</w:t>
      </w:r>
      <w:r>
        <w:rPr>
          <w:rFonts w:hint="eastAsia"/>
          <w:b/>
          <w:color w:val="000000" w:themeColor="text1"/>
          <w:sz w:val="24"/>
          <w:highlight w:val="yellow"/>
          <w14:textFill>
            <w14:solidFill>
              <w14:schemeClr w14:val="tx1"/>
            </w14:solidFill>
          </w14:textFill>
        </w:rPr>
        <w:t>年、工程管理2</w:t>
      </w:r>
      <w:r>
        <w:rPr>
          <w:b/>
          <w:color w:val="000000" w:themeColor="text1"/>
          <w:sz w:val="24"/>
          <w:highlight w:val="yellow"/>
          <w14:textFill>
            <w14:solidFill>
              <w14:schemeClr w14:val="tx1"/>
            </w14:solidFill>
          </w14:textFill>
        </w:rPr>
        <w:t>011</w:t>
      </w:r>
      <w:r>
        <w:rPr>
          <w:rFonts w:hint="eastAsia"/>
          <w:b/>
          <w:color w:val="000000" w:themeColor="text1"/>
          <w:sz w:val="24"/>
          <w:highlight w:val="yellow"/>
          <w14:textFill>
            <w14:solidFill>
              <w14:schemeClr w14:val="tx1"/>
            </w14:solidFill>
          </w14:textFill>
        </w:rPr>
        <w:t>年、工业工程与管理领域2</w:t>
      </w:r>
      <w:r>
        <w:rPr>
          <w:b/>
          <w:color w:val="000000" w:themeColor="text1"/>
          <w:sz w:val="24"/>
          <w:highlight w:val="yellow"/>
          <w14:textFill>
            <w14:solidFill>
              <w14:schemeClr w14:val="tx1"/>
            </w14:solidFill>
          </w14:textFill>
        </w:rPr>
        <w:t>021</w:t>
      </w:r>
      <w:r>
        <w:rPr>
          <w:rFonts w:hint="eastAsia"/>
          <w:b/>
          <w:color w:val="000000" w:themeColor="text1"/>
          <w:sz w:val="24"/>
          <w:highlight w:val="yellow"/>
          <w14:textFill>
            <w14:solidFill>
              <w14:schemeClr w14:val="tx1"/>
            </w14:solidFill>
          </w14:textFill>
        </w:rPr>
        <w:t>年、翻译2</w:t>
      </w:r>
      <w:r>
        <w:rPr>
          <w:b/>
          <w:color w:val="000000" w:themeColor="text1"/>
          <w:sz w:val="24"/>
          <w:highlight w:val="yellow"/>
          <w14:textFill>
            <w14:solidFill>
              <w14:schemeClr w14:val="tx1"/>
            </w14:solidFill>
          </w14:textFill>
        </w:rPr>
        <w:t>011</w:t>
      </w:r>
      <w:r>
        <w:rPr>
          <w:rFonts w:hint="eastAsia"/>
          <w:b/>
          <w:color w:val="000000" w:themeColor="text1"/>
          <w:sz w:val="24"/>
          <w:highlight w:val="yellow"/>
          <w14:textFill>
            <w14:solidFill>
              <w14:schemeClr w14:val="tx1"/>
            </w14:solidFill>
          </w14:textFill>
        </w:rPr>
        <w:t>年）</w:t>
      </w:r>
      <w:r>
        <w:rPr>
          <w:rFonts w:hint="eastAsia"/>
          <w:color w:val="000000" w:themeColor="text1"/>
          <w:sz w:val="24"/>
          <w:highlight w:val="yellow"/>
          <w14:textFill>
            <w14:solidFill>
              <w14:schemeClr w14:val="tx1"/>
            </w14:solidFill>
          </w14:textFill>
        </w:rPr>
        <w:t>。</w:t>
      </w:r>
      <w:r>
        <w:rPr>
          <w:rFonts w:hint="eastAsia"/>
          <w:b/>
          <w:color w:val="000000" w:themeColor="text1"/>
          <w:sz w:val="24"/>
          <w:highlight w:val="yellow"/>
          <w14:textFill>
            <w14:solidFill>
              <w14:schemeClr w14:val="tx1"/>
            </w14:solidFill>
          </w14:textFill>
        </w:rPr>
        <w:t>各专项计划所对应的培养方案严格按照专项要求执行。</w:t>
      </w:r>
    </w:p>
    <w:p w14:paraId="2187247B">
      <w:pPr>
        <w:widowControl/>
        <w:spacing w:before="156" w:beforeLines="50" w:after="156" w:afterLines="50" w:line="360" w:lineRule="auto"/>
        <w:jc w:val="left"/>
        <w:rPr>
          <w:rFonts w:ascii="宋体" w:hAnsi="宋体" w:cs="宋体"/>
          <w:b/>
          <w:bCs/>
          <w:color w:val="000000" w:themeColor="text1"/>
          <w:kern w:val="0"/>
          <w:sz w:val="24"/>
          <w:lang w:bidi="ar"/>
          <w14:textFill>
            <w14:solidFill>
              <w14:schemeClr w14:val="tx1"/>
            </w14:solidFill>
          </w14:textFill>
        </w:rPr>
      </w:pPr>
      <w:r>
        <w:rPr>
          <w:rFonts w:hint="eastAsia" w:ascii="宋体" w:hAnsi="宋体" w:cs="宋体"/>
          <w:b/>
          <w:bCs/>
          <w:color w:val="000000" w:themeColor="text1"/>
          <w:kern w:val="0"/>
          <w:sz w:val="24"/>
          <w:lang w:bidi="ar"/>
          <w14:textFill>
            <w14:solidFill>
              <w14:schemeClr w14:val="tx1"/>
            </w14:solidFill>
          </w14:textFill>
        </w:rPr>
        <w:t>（一）专业学位博士研究生</w:t>
      </w:r>
    </w:p>
    <w:p w14:paraId="5E7B7ACE">
      <w:pPr>
        <w:widowControl/>
        <w:spacing w:before="156" w:beforeLines="50" w:after="156" w:afterLines="50"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根据专业领域发展需要，</w:t>
      </w:r>
      <w:r>
        <w:rPr>
          <w:rFonts w:hint="eastAsia"/>
          <w:b/>
          <w:color w:val="000000" w:themeColor="text1"/>
          <w:sz w:val="24"/>
          <w:highlight w:val="yellow"/>
          <w14:textFill>
            <w14:solidFill>
              <w14:schemeClr w14:val="tx1"/>
            </w14:solidFill>
          </w14:textFill>
        </w:rPr>
        <w:t>结合2</w:t>
      </w:r>
      <w:r>
        <w:rPr>
          <w:b/>
          <w:color w:val="000000" w:themeColor="text1"/>
          <w:sz w:val="24"/>
          <w:highlight w:val="yellow"/>
          <w14:textFill>
            <w14:solidFill>
              <w14:schemeClr w14:val="tx1"/>
            </w14:solidFill>
          </w14:textFill>
        </w:rPr>
        <w:t>026</w:t>
      </w:r>
      <w:r>
        <w:rPr>
          <w:rFonts w:hint="eastAsia"/>
          <w:b/>
          <w:color w:val="000000" w:themeColor="text1"/>
          <w:sz w:val="24"/>
          <w:highlight w:val="yellow"/>
          <w14:textFill>
            <w14:solidFill>
              <w14:schemeClr w14:val="tx1"/>
            </w14:solidFill>
          </w14:textFill>
        </w:rPr>
        <w:t>年最新版《工程类博士专业学位研究生培养方案指导意见》</w:t>
      </w:r>
      <w:r>
        <w:rPr>
          <w:rFonts w:hint="eastAsia"/>
          <w:color w:val="000000" w:themeColor="text1"/>
          <w:sz w:val="24"/>
          <w14:textFill>
            <w14:solidFill>
              <w14:schemeClr w14:val="tx1"/>
            </w14:solidFill>
          </w14:textFill>
        </w:rPr>
        <w:t>，在去年培养方案基础上进一步优化、完善。</w:t>
      </w:r>
    </w:p>
    <w:p w14:paraId="3771ACBD">
      <w:pPr>
        <w:widowControl/>
        <w:spacing w:before="156" w:beforeLines="50" w:after="156" w:afterLines="50" w:line="360" w:lineRule="auto"/>
        <w:jc w:val="left"/>
        <w:rPr>
          <w:rFonts w:ascii="宋体" w:hAnsi="宋体" w:cs="宋体"/>
          <w:b/>
          <w:bCs/>
          <w:color w:val="000000" w:themeColor="text1"/>
          <w:kern w:val="0"/>
          <w:sz w:val="24"/>
          <w:lang w:bidi="ar"/>
          <w14:textFill>
            <w14:solidFill>
              <w14:schemeClr w14:val="tx1"/>
            </w14:solidFill>
          </w14:textFill>
        </w:rPr>
      </w:pPr>
      <w:r>
        <w:rPr>
          <w:rFonts w:hint="eastAsia" w:ascii="宋体" w:hAnsi="宋体" w:cs="宋体"/>
          <w:b/>
          <w:bCs/>
          <w:color w:val="000000" w:themeColor="text1"/>
          <w:kern w:val="0"/>
          <w:sz w:val="24"/>
          <w:lang w:bidi="ar"/>
          <w14:textFill>
            <w14:solidFill>
              <w14:schemeClr w14:val="tx1"/>
            </w14:solidFill>
          </w14:textFill>
        </w:rPr>
        <w:t>（二）专业学位硕士生培养方案</w:t>
      </w:r>
    </w:p>
    <w:p w14:paraId="3A79EF90">
      <w:pPr>
        <w:spacing w:line="360" w:lineRule="auto"/>
        <w:jc w:val="left"/>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1.培养目标</w:t>
      </w:r>
    </w:p>
    <w:p w14:paraId="02BBAAED">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在满足国家对专业学位要求</w:t>
      </w:r>
      <w:r>
        <w:rPr>
          <w:rFonts w:hint="eastAsia"/>
          <w:b/>
          <w:color w:val="000000" w:themeColor="text1"/>
          <w:sz w:val="24"/>
          <w:highlight w:val="yellow"/>
          <w14:textFill>
            <w14:solidFill>
              <w14:schemeClr w14:val="tx1"/>
            </w14:solidFill>
          </w14:textFill>
        </w:rPr>
        <w:t>（具有承担专业实践工作的能力）</w:t>
      </w:r>
      <w:r>
        <w:rPr>
          <w:rFonts w:hint="eastAsia"/>
          <w:color w:val="000000" w:themeColor="text1"/>
          <w:sz w:val="24"/>
          <w14:textFill>
            <w14:solidFill>
              <w14:schemeClr w14:val="tx1"/>
            </w14:solidFill>
          </w14:textFill>
        </w:rPr>
        <w:t>的基础上，紧密结合自身优势和特色，明确培养定位，突出培养特色，更好地服务于专业学位研究生职业发展需求和社会的多元化人才需求，培养应用型、复合型高层次工程技术和管理人才。培养目标和基本要求应具备有效性和可检验性，应与毕业生就业情况充分契合。</w:t>
      </w:r>
    </w:p>
    <w:p w14:paraId="3F72F203">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2.学习年限</w:t>
      </w:r>
    </w:p>
    <w:p w14:paraId="7FDA865D">
      <w:pPr>
        <w:spacing w:line="360" w:lineRule="auto"/>
        <w:ind w:firstLine="42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学制和学习年限参照《上海电力大学研究生学籍管理规定》执行，全日制和非全日制应在学校规定的最长修学年限内完成学业。</w:t>
      </w:r>
    </w:p>
    <w:p w14:paraId="54706F83">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3.培养方向</w:t>
      </w:r>
    </w:p>
    <w:p w14:paraId="5926F188">
      <w:pPr>
        <w:autoSpaceDE w:val="0"/>
        <w:autoSpaceDN w:val="0"/>
        <w:adjustRightInd w:val="0"/>
        <w:spacing w:line="360" w:lineRule="auto"/>
        <w:ind w:firstLine="480" w:firstLineChars="200"/>
        <w:jc w:val="left"/>
        <w:rPr>
          <w:rFonts w:ascii="宋体" w:hAnsi="宋体" w:cs="仿宋_GB2312"/>
          <w:b/>
          <w:color w:val="000000" w:themeColor="text1"/>
          <w:kern w:val="0"/>
          <w:sz w:val="24"/>
          <w:highlight w:val="yellow"/>
          <w14:textFill>
            <w14:solidFill>
              <w14:schemeClr w14:val="tx1"/>
            </w14:solidFill>
          </w14:textFill>
        </w:rPr>
      </w:pPr>
      <w:r>
        <w:rPr>
          <w:rFonts w:hint="eastAsia" w:ascii="宋体" w:hAnsi="宋体" w:cs="仿宋_GB2312"/>
          <w:color w:val="000000" w:themeColor="text1"/>
          <w:kern w:val="0"/>
          <w:sz w:val="24"/>
          <w:highlight w:val="yellow"/>
          <w14:textFill>
            <w14:solidFill>
              <w14:schemeClr w14:val="tx1"/>
            </w14:solidFill>
          </w14:textFill>
        </w:rPr>
        <w:t>培养方向一般不超过5个</w:t>
      </w:r>
      <w:r>
        <w:rPr>
          <w:rFonts w:hint="eastAsia" w:ascii="宋体" w:hAnsi="宋体" w:cs="仿宋_GB2312"/>
          <w:color w:val="000000" w:themeColor="text1"/>
          <w:kern w:val="0"/>
          <w:sz w:val="24"/>
          <w14:textFill>
            <w14:solidFill>
              <w14:schemeClr w14:val="tx1"/>
            </w14:solidFill>
          </w14:textFill>
        </w:rPr>
        <w:t>，设置要科学、规范、相对稳定，反映行业企业对人才的需求，并能体现我校的办学优势和特色。</w:t>
      </w:r>
      <w:r>
        <w:rPr>
          <w:rFonts w:hint="eastAsia" w:ascii="宋体" w:hAnsi="宋体" w:cs="仿宋_GB2312"/>
          <w:b/>
          <w:color w:val="000000" w:themeColor="text1"/>
          <w:kern w:val="0"/>
          <w:sz w:val="24"/>
          <w:highlight w:val="yellow"/>
          <w14:textFill>
            <w14:solidFill>
              <w14:schemeClr w14:val="tx1"/>
            </w14:solidFill>
          </w14:textFill>
        </w:rPr>
        <w:t>建议每个方向的</w:t>
      </w:r>
      <w:r>
        <w:rPr>
          <w:rFonts w:ascii="宋体" w:hAnsi="宋体" w:cs="仿宋_GB2312"/>
          <w:b/>
          <w:color w:val="000000" w:themeColor="text1"/>
          <w:kern w:val="0"/>
          <w:sz w:val="24"/>
          <w:highlight w:val="yellow"/>
          <w14:textFill>
            <w14:solidFill>
              <w14:schemeClr w14:val="tx1"/>
            </w14:solidFill>
          </w14:textFill>
        </w:rPr>
        <w:t>方向说明</w:t>
      </w:r>
      <w:r>
        <w:rPr>
          <w:rFonts w:hint="eastAsia" w:ascii="宋体" w:hAnsi="宋体" w:cs="仿宋_GB2312"/>
          <w:b/>
          <w:color w:val="000000" w:themeColor="text1"/>
          <w:kern w:val="0"/>
          <w:sz w:val="24"/>
          <w:highlight w:val="yellow"/>
          <w14:textFill>
            <w14:solidFill>
              <w14:schemeClr w14:val="tx1"/>
            </w14:solidFill>
          </w14:textFill>
        </w:rPr>
        <w:t>在</w:t>
      </w:r>
      <w:r>
        <w:rPr>
          <w:rFonts w:ascii="宋体" w:hAnsi="宋体" w:cs="仿宋_GB2312"/>
          <w:b/>
          <w:color w:val="000000" w:themeColor="text1"/>
          <w:kern w:val="0"/>
          <w:sz w:val="24"/>
          <w:highlight w:val="yellow"/>
          <w14:textFill>
            <w14:solidFill>
              <w14:schemeClr w14:val="tx1"/>
            </w14:solidFill>
          </w14:textFill>
        </w:rPr>
        <w:t>100字以内</w:t>
      </w:r>
      <w:r>
        <w:rPr>
          <w:rFonts w:hint="eastAsia" w:ascii="宋体" w:hAnsi="宋体" w:cs="仿宋_GB2312"/>
          <w:b/>
          <w:color w:val="000000" w:themeColor="text1"/>
          <w:kern w:val="0"/>
          <w:sz w:val="24"/>
          <w:highlight w:val="yellow"/>
          <w14:textFill>
            <w14:solidFill>
              <w14:schemeClr w14:val="tx1"/>
            </w14:solidFill>
          </w14:textFill>
        </w:rPr>
        <w:t>。</w:t>
      </w:r>
    </w:p>
    <w:p w14:paraId="6F0C3EDE">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4.培养方式</w:t>
      </w:r>
    </w:p>
    <w:p w14:paraId="47FE3987">
      <w:pPr>
        <w:autoSpaceDE w:val="0"/>
        <w:autoSpaceDN w:val="0"/>
        <w:adjustRightInd w:val="0"/>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专业学位研究生的培养主要采取课程学习、专业实践、学位论文或申请学位实践成果相结合的培养方式，强调产教融合协同育人，将工程实践能力培养嵌入学生培养全过程。</w:t>
      </w:r>
      <w:r>
        <w:rPr>
          <w:color w:val="000000" w:themeColor="text1"/>
          <w:sz w:val="24"/>
          <w14:textFill>
            <w14:solidFill>
              <w14:schemeClr w14:val="tx1"/>
            </w14:solidFill>
          </w14:textFill>
        </w:rPr>
        <w:t>实行导师（组）负责制，导师组应有来自</w:t>
      </w:r>
      <w:r>
        <w:rPr>
          <w:rFonts w:hint="eastAsia"/>
          <w:color w:val="000000" w:themeColor="text1"/>
          <w:sz w:val="24"/>
          <w14:textFill>
            <w14:solidFill>
              <w14:schemeClr w14:val="tx1"/>
            </w14:solidFill>
          </w14:textFill>
        </w:rPr>
        <w:t>校内</w:t>
      </w:r>
      <w:r>
        <w:rPr>
          <w:color w:val="000000" w:themeColor="text1"/>
          <w:sz w:val="24"/>
          <w14:textFill>
            <w14:solidFill>
              <w14:schemeClr w14:val="tx1"/>
            </w14:solidFill>
          </w14:textFill>
        </w:rPr>
        <w:t>具有较高学术水平和丰富指导经验的教师，以及来自企业具有丰富工程实践经验的专家。</w:t>
      </w:r>
      <w:r>
        <w:rPr>
          <w:rFonts w:hint="eastAsia" w:ascii="宋体" w:hAnsi="宋体" w:cs="宋体"/>
          <w:color w:val="000000" w:themeColor="text1"/>
          <w:kern w:val="0"/>
          <w:sz w:val="24"/>
          <w:lang w:bidi="ar"/>
          <w14:textFill>
            <w14:solidFill>
              <w14:schemeClr w14:val="tx1"/>
            </w14:solidFill>
          </w14:textFill>
        </w:rPr>
        <w:t>专业学位研究生</w:t>
      </w:r>
      <w:r>
        <w:rPr>
          <w:color w:val="000000" w:themeColor="text1"/>
          <w:sz w:val="24"/>
          <w14:textFill>
            <w14:solidFill>
              <w14:schemeClr w14:val="tx1"/>
            </w14:solidFill>
          </w14:textFill>
        </w:rPr>
        <w:t>可采用全日制和非全日制两种学习方式。</w:t>
      </w:r>
    </w:p>
    <w:p w14:paraId="1BB4205D">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5.课程设置及学分</w:t>
      </w:r>
    </w:p>
    <w:p w14:paraId="16369E67">
      <w:pPr>
        <w:widowControl/>
        <w:spacing w:line="360" w:lineRule="auto"/>
        <w:ind w:firstLine="480" w:firstLineChars="200"/>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课程学习应紧密围绕人才培养目标及基本要求，在满足学分要求的同时，注重课程体系的先进性、模块化、复合性、工程性和创新性，满足社会多元化需求和学生个性化培养需求。课程设置应强调专业基础、工程能力和职业发展潜力的综合培养，注重发挥在线教学、案例教学和实践教学的协同优势。各专业根据自身特点，确定各类课程的内容和学分，达到专业学位应具备的知识结构、能力和综合素养的要求。同时，</w:t>
      </w:r>
      <w:r>
        <w:rPr>
          <w:rFonts w:hint="eastAsia" w:ascii="宋体" w:hAnsi="宋体" w:cs="仿宋_GB2312"/>
          <w:color w:val="000000" w:themeColor="text1"/>
          <w:kern w:val="0"/>
          <w:sz w:val="24"/>
          <w14:textFill>
            <w14:solidFill>
              <w14:schemeClr w14:val="tx1"/>
            </w14:solidFill>
          </w14:textFill>
        </w:rPr>
        <w:t>全面推进课程思政建设，实现“门门有思政、人人重育人”。</w:t>
      </w:r>
    </w:p>
    <w:p w14:paraId="0847C1C4">
      <w:pPr>
        <w:widowControl/>
        <w:spacing w:line="360" w:lineRule="auto"/>
        <w:ind w:firstLine="482" w:firstLineChars="200"/>
        <w:rPr>
          <w:rFonts w:ascii="宋体" w:hAnsi="宋体" w:cs="宋体"/>
          <w:color w:val="000000" w:themeColor="text1"/>
          <w:kern w:val="0"/>
          <w:sz w:val="24"/>
          <w:highlight w:val="yellow"/>
          <w:lang w:bidi="ar"/>
          <w14:textFill>
            <w14:solidFill>
              <w14:schemeClr w14:val="tx1"/>
            </w14:solidFill>
          </w14:textFill>
        </w:rPr>
      </w:pPr>
      <w:r>
        <w:rPr>
          <w:rFonts w:hint="eastAsia" w:ascii="宋体" w:hAnsi="宋体" w:cs="仿宋_GB2312"/>
          <w:b/>
          <w:color w:val="000000" w:themeColor="text1"/>
          <w:kern w:val="0"/>
          <w:sz w:val="24"/>
          <w:highlight w:val="yellow"/>
          <w14:textFill>
            <w14:solidFill>
              <w14:schemeClr w14:val="tx1"/>
            </w14:solidFill>
          </w14:textFill>
        </w:rPr>
        <w:t>各院部要根据往年的开课情况优化课程体系，超过3年未开课的课程建议不再列入培养方案。原则上在第一学期内完成所有课程。</w:t>
      </w:r>
    </w:p>
    <w:p w14:paraId="357CB7BD">
      <w:pPr>
        <w:autoSpaceDE w:val="0"/>
        <w:autoSpaceDN w:val="0"/>
        <w:adjustRightInd w:val="0"/>
        <w:spacing w:line="360" w:lineRule="auto"/>
        <w:jc w:val="left"/>
        <w:rPr>
          <w:rFonts w:ascii="宋体" w:hAnsi="宋体" w:cs="黑体"/>
          <w:b/>
          <w:color w:val="000000" w:themeColor="text1"/>
          <w:kern w:val="0"/>
          <w:sz w:val="24"/>
          <w14:textFill>
            <w14:solidFill>
              <w14:schemeClr w14:val="tx1"/>
            </w14:solidFill>
          </w14:textFill>
        </w:rPr>
      </w:pPr>
      <w:r>
        <w:rPr>
          <w:rFonts w:hint="eastAsia" w:ascii="宋体" w:hAnsi="宋体" w:cs="黑体"/>
          <w:b/>
          <w:color w:val="000000" w:themeColor="text1"/>
          <w:kern w:val="0"/>
          <w:sz w:val="24"/>
          <w14:textFill>
            <w14:solidFill>
              <w14:schemeClr w14:val="tx1"/>
            </w14:solidFill>
          </w14:textFill>
        </w:rPr>
        <w:t>（1）最低学分要求</w:t>
      </w:r>
    </w:p>
    <w:p w14:paraId="2D387E40">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研究生课程学习采用学分制。一般课程每16学时计1学分。</w:t>
      </w:r>
    </w:p>
    <w:p w14:paraId="6B5017FE">
      <w:pPr>
        <w:autoSpaceDE w:val="0"/>
        <w:autoSpaceDN w:val="0"/>
        <w:adjustRightInd w:val="0"/>
        <w:spacing w:line="360" w:lineRule="auto"/>
        <w:ind w:firstLine="482" w:firstLineChars="200"/>
        <w:jc w:val="both"/>
        <w:rPr>
          <w:rFonts w:ascii="宋体" w:hAnsi="宋体" w:cs="仿宋_GB2312"/>
          <w:color w:val="000000" w:themeColor="text1"/>
          <w:kern w:val="0"/>
          <w:sz w:val="24"/>
          <w:highlight w:val="yellow"/>
          <w14:textFill>
            <w14:solidFill>
              <w14:schemeClr w14:val="tx1"/>
            </w14:solidFill>
          </w14:textFill>
        </w:rPr>
      </w:pPr>
      <w:r>
        <w:rPr>
          <w:rFonts w:hint="eastAsia" w:ascii="宋体" w:hAnsi="宋体" w:cs="仿宋_GB2312"/>
          <w:b/>
          <w:color w:val="000000" w:themeColor="text1"/>
          <w:kern w:val="0"/>
          <w:sz w:val="24"/>
          <w:highlight w:val="yellow"/>
          <w14:textFill>
            <w14:solidFill>
              <w14:schemeClr w14:val="tx1"/>
            </w14:solidFill>
          </w14:textFill>
        </w:rPr>
        <w:t>工程类专业学位硕士研究生应修最低总学分</w:t>
      </w:r>
      <w:r>
        <w:rPr>
          <w:rFonts w:ascii="宋体" w:hAnsi="宋体" w:cs="仿宋_GB2312"/>
          <w:b/>
          <w:color w:val="000000" w:themeColor="text1"/>
          <w:kern w:val="0"/>
          <w:sz w:val="24"/>
          <w:highlight w:val="yellow"/>
          <w14:textFill>
            <w14:solidFill>
              <w14:schemeClr w14:val="tx1"/>
            </w14:solidFill>
          </w14:textFill>
        </w:rPr>
        <w:t>30</w:t>
      </w:r>
      <w:r>
        <w:rPr>
          <w:rFonts w:hint="eastAsia" w:ascii="宋体" w:hAnsi="宋体" w:cs="仿宋_GB2312"/>
          <w:b/>
          <w:color w:val="000000" w:themeColor="text1"/>
          <w:kern w:val="0"/>
          <w:sz w:val="24"/>
          <w:highlight w:val="yellow"/>
          <w14:textFill>
            <w14:solidFill>
              <w14:schemeClr w14:val="tx1"/>
            </w14:solidFill>
          </w14:textFill>
        </w:rPr>
        <w:t>学分，其中课程学分不少于</w:t>
      </w:r>
      <w:r>
        <w:rPr>
          <w:rFonts w:ascii="宋体" w:hAnsi="宋体" w:cs="仿宋_GB2312"/>
          <w:b/>
          <w:color w:val="000000" w:themeColor="text1"/>
          <w:kern w:val="0"/>
          <w:sz w:val="24"/>
          <w:highlight w:val="yellow"/>
          <w14:textFill>
            <w14:solidFill>
              <w14:schemeClr w14:val="tx1"/>
            </w14:solidFill>
          </w14:textFill>
        </w:rPr>
        <w:t>23</w:t>
      </w:r>
      <w:r>
        <w:rPr>
          <w:rFonts w:hint="eastAsia" w:ascii="宋体" w:hAnsi="宋体" w:cs="仿宋_GB2312"/>
          <w:b/>
          <w:color w:val="000000" w:themeColor="text1"/>
          <w:kern w:val="0"/>
          <w:sz w:val="24"/>
          <w:highlight w:val="yellow"/>
          <w14:textFill>
            <w14:solidFill>
              <w14:schemeClr w14:val="tx1"/>
            </w14:solidFill>
          </w14:textFill>
        </w:rPr>
        <w:t>学分，必修环节</w:t>
      </w:r>
      <w:r>
        <w:rPr>
          <w:rFonts w:ascii="宋体" w:hAnsi="宋体" w:cs="仿宋_GB2312"/>
          <w:b/>
          <w:color w:val="000000" w:themeColor="text1"/>
          <w:kern w:val="0"/>
          <w:sz w:val="24"/>
          <w:highlight w:val="yellow"/>
          <w14:textFill>
            <w14:solidFill>
              <w14:schemeClr w14:val="tx1"/>
            </w14:solidFill>
          </w14:textFill>
        </w:rPr>
        <w:t>7</w:t>
      </w:r>
      <w:r>
        <w:rPr>
          <w:rFonts w:hint="eastAsia" w:ascii="宋体" w:hAnsi="宋体" w:cs="仿宋_GB2312"/>
          <w:b/>
          <w:color w:val="000000" w:themeColor="text1"/>
          <w:kern w:val="0"/>
          <w:sz w:val="24"/>
          <w:highlight w:val="yellow"/>
          <w14:textFill>
            <w14:solidFill>
              <w14:schemeClr w14:val="tx1"/>
            </w14:solidFill>
          </w14:textFill>
        </w:rPr>
        <w:t>学分</w:t>
      </w:r>
      <w:r>
        <w:rPr>
          <w:rFonts w:hint="eastAsia" w:ascii="宋体" w:hAnsi="宋体" w:cs="仿宋_GB2312"/>
          <w:b/>
          <w:color w:val="000000" w:themeColor="text1"/>
          <w:kern w:val="0"/>
          <w:sz w:val="24"/>
          <w:highlight w:val="yellow"/>
          <w:lang w:eastAsia="zh-CN"/>
          <w14:textFill>
            <w14:solidFill>
              <w14:schemeClr w14:val="tx1"/>
            </w14:solidFill>
          </w14:textFill>
        </w:rPr>
        <w:t>（“1+1”专班</w:t>
      </w:r>
      <w:r>
        <w:rPr>
          <w:rFonts w:hint="eastAsia" w:ascii="宋体" w:hAnsi="宋体" w:cs="仿宋_GB2312"/>
          <w:b/>
          <w:color w:val="000000" w:themeColor="text1"/>
          <w:kern w:val="0"/>
          <w:sz w:val="24"/>
          <w:highlight w:val="yellow"/>
          <w14:textFill>
            <w14:solidFill>
              <w14:schemeClr w14:val="tx1"/>
            </w14:solidFill>
          </w14:textFill>
        </w:rPr>
        <w:t>最低总学分</w:t>
      </w:r>
      <w:r>
        <w:rPr>
          <w:rFonts w:hint="eastAsia" w:ascii="宋体" w:hAnsi="宋体" w:cs="仿宋_GB2312"/>
          <w:b/>
          <w:color w:val="000000" w:themeColor="text1"/>
          <w:kern w:val="0"/>
          <w:sz w:val="24"/>
          <w:highlight w:val="yellow"/>
          <w:lang w:val="en-US" w:eastAsia="zh-CN"/>
          <w14:textFill>
            <w14:solidFill>
              <w14:schemeClr w14:val="tx1"/>
            </w14:solidFill>
          </w14:textFill>
        </w:rPr>
        <w:t>28</w:t>
      </w:r>
      <w:r>
        <w:rPr>
          <w:rFonts w:hint="eastAsia" w:ascii="宋体" w:hAnsi="宋体" w:cs="仿宋_GB2312"/>
          <w:b/>
          <w:color w:val="000000" w:themeColor="text1"/>
          <w:kern w:val="0"/>
          <w:sz w:val="24"/>
          <w:highlight w:val="yellow"/>
          <w14:textFill>
            <w14:solidFill>
              <w14:schemeClr w14:val="tx1"/>
            </w14:solidFill>
          </w14:textFill>
        </w:rPr>
        <w:t>学分，其中课程学分不少于</w:t>
      </w:r>
      <w:r>
        <w:rPr>
          <w:rFonts w:ascii="宋体" w:hAnsi="宋体" w:cs="仿宋_GB2312"/>
          <w:b/>
          <w:color w:val="000000" w:themeColor="text1"/>
          <w:kern w:val="0"/>
          <w:sz w:val="24"/>
          <w:highlight w:val="yellow"/>
          <w14:textFill>
            <w14:solidFill>
              <w14:schemeClr w14:val="tx1"/>
            </w14:solidFill>
          </w14:textFill>
        </w:rPr>
        <w:t>2</w:t>
      </w:r>
      <w:r>
        <w:rPr>
          <w:rFonts w:hint="eastAsia" w:ascii="宋体" w:hAnsi="宋体" w:cs="仿宋_GB2312"/>
          <w:b/>
          <w:color w:val="000000" w:themeColor="text1"/>
          <w:kern w:val="0"/>
          <w:sz w:val="24"/>
          <w:highlight w:val="yellow"/>
          <w:lang w:val="en-US" w:eastAsia="zh-CN"/>
          <w14:textFill>
            <w14:solidFill>
              <w14:schemeClr w14:val="tx1"/>
            </w14:solidFill>
          </w14:textFill>
        </w:rPr>
        <w:t>1</w:t>
      </w:r>
      <w:r>
        <w:rPr>
          <w:rFonts w:hint="eastAsia" w:ascii="宋体" w:hAnsi="宋体" w:cs="仿宋_GB2312"/>
          <w:b/>
          <w:color w:val="000000" w:themeColor="text1"/>
          <w:kern w:val="0"/>
          <w:sz w:val="24"/>
          <w:highlight w:val="yellow"/>
          <w14:textFill>
            <w14:solidFill>
              <w14:schemeClr w14:val="tx1"/>
            </w14:solidFill>
          </w14:textFill>
        </w:rPr>
        <w:t>学分，必修环节</w:t>
      </w:r>
      <w:r>
        <w:rPr>
          <w:rFonts w:ascii="宋体" w:hAnsi="宋体" w:cs="仿宋_GB2312"/>
          <w:b/>
          <w:color w:val="000000" w:themeColor="text1"/>
          <w:kern w:val="0"/>
          <w:sz w:val="24"/>
          <w:highlight w:val="yellow"/>
          <w14:textFill>
            <w14:solidFill>
              <w14:schemeClr w14:val="tx1"/>
            </w14:solidFill>
          </w14:textFill>
        </w:rPr>
        <w:t>7</w:t>
      </w:r>
      <w:r>
        <w:rPr>
          <w:rFonts w:hint="eastAsia" w:ascii="宋体" w:hAnsi="宋体" w:cs="仿宋_GB2312"/>
          <w:b/>
          <w:color w:val="000000" w:themeColor="text1"/>
          <w:kern w:val="0"/>
          <w:sz w:val="24"/>
          <w:highlight w:val="yellow"/>
          <w14:textFill>
            <w14:solidFill>
              <w14:schemeClr w14:val="tx1"/>
            </w14:solidFill>
          </w14:textFill>
        </w:rPr>
        <w:t>学分</w:t>
      </w:r>
      <w:r>
        <w:rPr>
          <w:rFonts w:hint="eastAsia" w:ascii="宋体" w:hAnsi="宋体" w:cs="仿宋_GB2312"/>
          <w:b/>
          <w:color w:val="000000" w:themeColor="text1"/>
          <w:kern w:val="0"/>
          <w:sz w:val="24"/>
          <w:highlight w:val="yellow"/>
          <w:lang w:eastAsia="zh-CN"/>
          <w14:textFill>
            <w14:solidFill>
              <w14:schemeClr w14:val="tx1"/>
            </w14:solidFill>
          </w14:textFill>
        </w:rPr>
        <w:t>）</w:t>
      </w:r>
      <w:r>
        <w:rPr>
          <w:rFonts w:hint="eastAsia" w:ascii="宋体" w:hAnsi="宋体" w:cs="仿宋_GB2312"/>
          <w:b/>
          <w:color w:val="000000" w:themeColor="text1"/>
          <w:kern w:val="0"/>
          <w:sz w:val="24"/>
          <w:highlight w:val="yellow"/>
          <w14:textFill>
            <w14:solidFill>
              <w14:schemeClr w14:val="tx1"/>
            </w14:solidFill>
          </w14:textFill>
        </w:rPr>
        <w:t>；工程管理专业学位硕士研究生应修最低总学分</w:t>
      </w:r>
      <w:r>
        <w:rPr>
          <w:rFonts w:ascii="宋体" w:hAnsi="宋体" w:cs="仿宋_GB2312"/>
          <w:b/>
          <w:color w:val="000000" w:themeColor="text1"/>
          <w:kern w:val="0"/>
          <w:sz w:val="24"/>
          <w:highlight w:val="yellow"/>
          <w14:textFill>
            <w14:solidFill>
              <w14:schemeClr w14:val="tx1"/>
            </w14:solidFill>
          </w14:textFill>
        </w:rPr>
        <w:t>30</w:t>
      </w:r>
      <w:r>
        <w:rPr>
          <w:rFonts w:hint="eastAsia" w:ascii="宋体" w:hAnsi="宋体" w:cs="仿宋_GB2312"/>
          <w:b/>
          <w:color w:val="000000" w:themeColor="text1"/>
          <w:kern w:val="0"/>
          <w:sz w:val="24"/>
          <w:highlight w:val="yellow"/>
          <w14:textFill>
            <w14:solidFill>
              <w14:schemeClr w14:val="tx1"/>
            </w14:solidFill>
          </w14:textFill>
        </w:rPr>
        <w:t>学分，其中管理类课程不少于1</w:t>
      </w:r>
      <w:r>
        <w:rPr>
          <w:rFonts w:ascii="宋体" w:hAnsi="宋体" w:cs="仿宋_GB2312"/>
          <w:b/>
          <w:color w:val="000000" w:themeColor="text1"/>
          <w:kern w:val="0"/>
          <w:sz w:val="24"/>
          <w:highlight w:val="yellow"/>
          <w14:textFill>
            <w14:solidFill>
              <w14:schemeClr w14:val="tx1"/>
            </w14:solidFill>
          </w14:textFill>
        </w:rPr>
        <w:t>8</w:t>
      </w:r>
      <w:r>
        <w:rPr>
          <w:rFonts w:hint="eastAsia" w:ascii="宋体" w:hAnsi="宋体" w:cs="仿宋_GB2312"/>
          <w:b/>
          <w:color w:val="000000" w:themeColor="text1"/>
          <w:kern w:val="0"/>
          <w:sz w:val="24"/>
          <w:highlight w:val="yellow"/>
          <w14:textFill>
            <w14:solidFill>
              <w14:schemeClr w14:val="tx1"/>
            </w14:solidFill>
          </w14:textFill>
        </w:rPr>
        <w:t>学分；翻译专业</w:t>
      </w:r>
      <w:bookmarkStart w:id="3" w:name="_GoBack"/>
      <w:bookmarkEnd w:id="3"/>
      <w:r>
        <w:rPr>
          <w:rFonts w:hint="eastAsia" w:ascii="宋体" w:hAnsi="宋体" w:cs="仿宋_GB2312"/>
          <w:b/>
          <w:color w:val="000000" w:themeColor="text1"/>
          <w:kern w:val="0"/>
          <w:sz w:val="24"/>
          <w:highlight w:val="yellow"/>
          <w14:textFill>
            <w14:solidFill>
              <w14:schemeClr w14:val="tx1"/>
            </w14:solidFill>
          </w14:textFill>
        </w:rPr>
        <w:t>学位硕士研究生应修最低总学分</w:t>
      </w:r>
      <w:r>
        <w:rPr>
          <w:rFonts w:ascii="宋体" w:hAnsi="宋体" w:cs="仿宋_GB2312"/>
          <w:b/>
          <w:color w:val="000000" w:themeColor="text1"/>
          <w:kern w:val="0"/>
          <w:sz w:val="24"/>
          <w:highlight w:val="yellow"/>
          <w14:textFill>
            <w14:solidFill>
              <w14:schemeClr w14:val="tx1"/>
            </w14:solidFill>
          </w14:textFill>
        </w:rPr>
        <w:t>38</w:t>
      </w:r>
      <w:r>
        <w:rPr>
          <w:rFonts w:hint="eastAsia" w:ascii="宋体" w:hAnsi="宋体" w:cs="仿宋_GB2312"/>
          <w:b/>
          <w:color w:val="000000" w:themeColor="text1"/>
          <w:kern w:val="0"/>
          <w:sz w:val="24"/>
          <w:highlight w:val="yellow"/>
          <w14:textFill>
            <w14:solidFill>
              <w14:schemeClr w14:val="tx1"/>
            </w14:solidFill>
          </w14:textFill>
        </w:rPr>
        <w:t>学分。</w:t>
      </w:r>
    </w:p>
    <w:p w14:paraId="7AB554B2">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各院部可根据专业特点，确定不低于上述基本要求的学分。</w:t>
      </w:r>
    </w:p>
    <w:p w14:paraId="197F2063">
      <w:pPr>
        <w:autoSpaceDE w:val="0"/>
        <w:autoSpaceDN w:val="0"/>
        <w:adjustRightInd w:val="0"/>
        <w:spacing w:line="360" w:lineRule="auto"/>
        <w:jc w:val="left"/>
        <w:rPr>
          <w:rFonts w:ascii="宋体" w:hAnsi="宋体" w:cs="黑体"/>
          <w:b/>
          <w:color w:val="000000" w:themeColor="text1"/>
          <w:kern w:val="0"/>
          <w:sz w:val="24"/>
          <w14:textFill>
            <w14:solidFill>
              <w14:schemeClr w14:val="tx1"/>
            </w14:solidFill>
          </w14:textFill>
        </w:rPr>
      </w:pPr>
      <w:r>
        <w:rPr>
          <w:rFonts w:hint="eastAsia" w:ascii="宋体" w:hAnsi="宋体" w:cs="黑体"/>
          <w:b/>
          <w:color w:val="000000" w:themeColor="text1"/>
          <w:kern w:val="0"/>
          <w:sz w:val="24"/>
          <w14:textFill>
            <w14:solidFill>
              <w14:schemeClr w14:val="tx1"/>
            </w14:solidFill>
          </w14:textFill>
        </w:rPr>
        <w:t>（2）具体课程设置</w:t>
      </w:r>
    </w:p>
    <w:p w14:paraId="7412B3F6">
      <w:pPr>
        <w:autoSpaceDE w:val="0"/>
        <w:autoSpaceDN w:val="0"/>
        <w:adjustRightInd w:val="0"/>
        <w:spacing w:line="360" w:lineRule="auto"/>
        <w:ind w:firstLine="480" w:firstLineChars="200"/>
        <w:rPr>
          <w:rFonts w:ascii="宋体" w:hAnsi="宋体" w:cs="宋体"/>
          <w:b/>
          <w:color w:val="000000" w:themeColor="text1"/>
          <w:kern w:val="0"/>
          <w:sz w:val="24"/>
          <w:highlight w:val="yellow"/>
          <w14:textFill>
            <w14:solidFill>
              <w14:schemeClr w14:val="tx1"/>
            </w14:solidFill>
          </w14:textFill>
        </w:rPr>
      </w:pPr>
      <w:bookmarkStart w:id="1" w:name="_Hlk102052521"/>
      <w:r>
        <w:rPr>
          <w:rFonts w:hint="eastAsia" w:ascii="宋体" w:hAnsi="宋体" w:cs="仿宋_GB2312"/>
          <w:color w:val="000000" w:themeColor="text1"/>
          <w:kern w:val="0"/>
          <w:sz w:val="24"/>
          <w14:textFill>
            <w14:solidFill>
              <w14:schemeClr w14:val="tx1"/>
            </w14:solidFill>
          </w14:textFill>
        </w:rPr>
        <w:t>课程设置框架包含必修课程（含公共必修课程和专业基础课程）、选修课程（含专业技术课程、专业特色课程、公共选修课程）和必修环节。</w:t>
      </w:r>
      <w:r>
        <w:rPr>
          <w:rFonts w:hint="eastAsia" w:ascii="宋体" w:hAnsi="宋体" w:cs="仿宋_GB2312"/>
          <w:b/>
          <w:color w:val="000000" w:themeColor="text1"/>
          <w:kern w:val="0"/>
          <w:sz w:val="24"/>
          <w:highlight w:val="yellow"/>
          <w14:textFill>
            <w14:solidFill>
              <w14:schemeClr w14:val="tx1"/>
            </w14:solidFill>
          </w14:textFill>
        </w:rPr>
        <w:t>其中，实践课程比例需达到2</w:t>
      </w:r>
      <w:r>
        <w:rPr>
          <w:rFonts w:ascii="宋体" w:hAnsi="宋体" w:cs="仿宋_GB2312"/>
          <w:b/>
          <w:color w:val="000000" w:themeColor="text1"/>
          <w:kern w:val="0"/>
          <w:sz w:val="24"/>
          <w:highlight w:val="yellow"/>
          <w14:textFill>
            <w14:solidFill>
              <w14:schemeClr w14:val="tx1"/>
            </w14:solidFill>
          </w14:textFill>
        </w:rPr>
        <w:t>5%</w:t>
      </w:r>
      <w:r>
        <w:rPr>
          <w:rFonts w:hint="eastAsia" w:ascii="宋体" w:hAnsi="宋体" w:cs="仿宋_GB2312"/>
          <w:b/>
          <w:color w:val="000000" w:themeColor="text1"/>
          <w:kern w:val="0"/>
          <w:sz w:val="24"/>
          <w:highlight w:val="yellow"/>
          <w14:textFill>
            <w14:solidFill>
              <w14:schemeClr w14:val="tx1"/>
            </w14:solidFill>
          </w14:textFill>
        </w:rPr>
        <w:t>以上。</w:t>
      </w:r>
    </w:p>
    <w:p w14:paraId="51B3027E">
      <w:p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ascii="宋体" w:hAnsi="宋体" w:cs="仿宋_GB2312"/>
          <w:b/>
          <w:color w:val="000000" w:themeColor="text1"/>
          <w:kern w:val="0"/>
          <w:sz w:val="24"/>
          <w14:textFill>
            <w14:solidFill>
              <w14:schemeClr w14:val="tx1"/>
            </w14:solidFill>
          </w14:textFill>
        </w:rPr>
        <w:t>1</w:t>
      </w:r>
      <w:r>
        <w:rPr>
          <w:rFonts w:hint="eastAsia" w:ascii="宋体" w:hAnsi="宋体" w:cs="仿宋_GB2312"/>
          <w:b/>
          <w:color w:val="000000" w:themeColor="text1"/>
          <w:kern w:val="0"/>
          <w:sz w:val="24"/>
          <w14:textFill>
            <w14:solidFill>
              <w14:schemeClr w14:val="tx1"/>
            </w14:solidFill>
          </w14:textFill>
        </w:rPr>
        <w:t>）公共基础课程</w:t>
      </w:r>
      <w:r>
        <w:rPr>
          <w:rFonts w:hint="eastAsia" w:ascii="宋体" w:hAnsi="宋体" w:cs="仿宋_GB2312"/>
          <w:b/>
          <w:color w:val="000000" w:themeColor="text1"/>
          <w:kern w:val="0"/>
          <w:sz w:val="24"/>
          <w:highlight w:val="yellow"/>
          <w14:textFill>
            <w14:solidFill>
              <w14:schemeClr w14:val="tx1"/>
            </w14:solidFill>
          </w14:textFill>
        </w:rPr>
        <w:t>（=</w:t>
      </w:r>
      <w:r>
        <w:rPr>
          <w:rFonts w:ascii="宋体" w:hAnsi="宋体" w:cs="仿宋_GB2312"/>
          <w:b/>
          <w:color w:val="000000" w:themeColor="text1"/>
          <w:kern w:val="0"/>
          <w:sz w:val="24"/>
          <w:highlight w:val="yellow"/>
          <w14:textFill>
            <w14:solidFill>
              <w14:schemeClr w14:val="tx1"/>
            </w14:solidFill>
          </w14:textFill>
        </w:rPr>
        <w:t>8学分）</w:t>
      </w:r>
    </w:p>
    <w:p w14:paraId="5B73838C">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包含：政治理论</w:t>
      </w:r>
      <w:r>
        <w:rPr>
          <w:rFonts w:hint="eastAsia" w:ascii="宋体" w:hAnsi="宋体" w:cs="宋体"/>
          <w:color w:val="000000" w:themeColor="text1"/>
          <w:kern w:val="0"/>
          <w:sz w:val="24"/>
          <w14:textFill>
            <w14:solidFill>
              <w14:schemeClr w14:val="tx1"/>
            </w14:solidFill>
          </w14:textFill>
        </w:rPr>
        <w:t>3学分</w:t>
      </w:r>
      <w:r>
        <w:rPr>
          <w:rFonts w:hint="eastAsia" w:ascii="宋体" w:hAnsi="宋体" w:cs="仿宋_GB2312"/>
          <w:color w:val="000000" w:themeColor="text1"/>
          <w:kern w:val="0"/>
          <w:sz w:val="24"/>
          <w14:textFill>
            <w14:solidFill>
              <w14:schemeClr w14:val="tx1"/>
            </w14:solidFill>
          </w14:textFill>
        </w:rPr>
        <w:t>、外语</w:t>
      </w:r>
      <w:r>
        <w:rPr>
          <w:rFonts w:hint="eastAsia" w:ascii="宋体" w:hAnsi="宋体" w:cs="宋体"/>
          <w:color w:val="000000" w:themeColor="text1"/>
          <w:kern w:val="0"/>
          <w:sz w:val="24"/>
          <w14:textFill>
            <w14:solidFill>
              <w14:schemeClr w14:val="tx1"/>
            </w14:solidFill>
          </w14:textFill>
        </w:rPr>
        <w:t>2学分</w:t>
      </w:r>
      <w:r>
        <w:rPr>
          <w:rFonts w:hint="eastAsia" w:ascii="宋体" w:hAnsi="宋体" w:cs="仿宋_GB2312"/>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工程伦理1学分、</w:t>
      </w:r>
      <w:r>
        <w:rPr>
          <w:rFonts w:hint="eastAsia" w:ascii="宋体" w:hAnsi="宋体" w:cs="仿宋_GB2312"/>
          <w:color w:val="000000" w:themeColor="text1"/>
          <w:kern w:val="0"/>
          <w:sz w:val="24"/>
          <w14:textFill>
            <w14:solidFill>
              <w14:schemeClr w14:val="tx1"/>
            </w14:solidFill>
          </w14:textFill>
        </w:rPr>
        <w:t>学术道德与论文写作类</w:t>
      </w:r>
      <w:r>
        <w:rPr>
          <w:rFonts w:hint="eastAsia" w:ascii="宋体" w:hAnsi="宋体" w:cs="宋体"/>
          <w:color w:val="000000" w:themeColor="text1"/>
          <w:kern w:val="0"/>
          <w:sz w:val="24"/>
          <w14:textFill>
            <w14:solidFill>
              <w14:schemeClr w14:val="tx1"/>
            </w14:solidFill>
          </w14:textFill>
        </w:rPr>
        <w:t>1学分、</w:t>
      </w:r>
      <w:r>
        <w:rPr>
          <w:rFonts w:hint="eastAsia" w:ascii="宋体" w:hAnsi="宋体" w:cs="宋体"/>
          <w:b/>
          <w:color w:val="000000" w:themeColor="text1"/>
          <w:kern w:val="0"/>
          <w:sz w:val="24"/>
          <w:highlight w:val="yellow"/>
          <w14:textFill>
            <w14:solidFill>
              <w14:schemeClr w14:val="tx1"/>
            </w14:solidFill>
          </w14:textFill>
        </w:rPr>
        <w:t>人工智能通识课1学分</w:t>
      </w:r>
      <w:r>
        <w:rPr>
          <w:rFonts w:hint="eastAsia" w:ascii="宋体" w:hAnsi="宋体" w:cs="仿宋_GB2312"/>
          <w:b/>
          <w:color w:val="000000" w:themeColor="text1"/>
          <w:kern w:val="0"/>
          <w:sz w:val="24"/>
          <w:highlight w:val="yellow"/>
          <w14:textFill>
            <w14:solidFill>
              <w14:schemeClr w14:val="tx1"/>
            </w14:solidFill>
          </w14:textFill>
        </w:rPr>
        <w:t>。</w:t>
      </w:r>
    </w:p>
    <w:p w14:paraId="798A81A6">
      <w:p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hint="eastAsia" w:ascii="宋体" w:hAnsi="宋体" w:cs="仿宋_GB2312"/>
          <w:b/>
          <w:color w:val="000000" w:themeColor="text1"/>
          <w:kern w:val="0"/>
          <w:sz w:val="24"/>
          <w14:textFill>
            <w14:solidFill>
              <w14:schemeClr w14:val="tx1"/>
            </w14:solidFill>
          </w14:textFill>
        </w:rPr>
        <w:t>2）专业基础课程</w:t>
      </w:r>
      <w:r>
        <w:rPr>
          <w:rFonts w:hint="eastAsia" w:ascii="宋体" w:hAnsi="宋体" w:cs="仿宋_GB2312"/>
          <w:b/>
          <w:color w:val="000000" w:themeColor="text1"/>
          <w:kern w:val="0"/>
          <w:sz w:val="24"/>
          <w:highlight w:val="yellow"/>
          <w14:textFill>
            <w14:solidFill>
              <w14:schemeClr w14:val="tx1"/>
            </w14:solidFill>
          </w14:textFill>
        </w:rPr>
        <w:t>（</w:t>
      </w:r>
      <w:r>
        <w:rPr>
          <w:rFonts w:hint="eastAsia"/>
          <w:b/>
          <w:color w:val="000000" w:themeColor="text1"/>
          <w:highlight w:val="yellow"/>
          <w14:textFill>
            <w14:solidFill>
              <w14:schemeClr w14:val="tx1"/>
            </w14:solidFill>
          </w14:textFill>
        </w:rPr>
        <w:t>≥</w:t>
      </w:r>
      <w:r>
        <w:rPr>
          <w:b/>
          <w:color w:val="000000" w:themeColor="text1"/>
          <w:sz w:val="24"/>
          <w:highlight w:val="yellow"/>
          <w14:textFill>
            <w14:solidFill>
              <w14:schemeClr w14:val="tx1"/>
            </w14:solidFill>
          </w14:textFill>
        </w:rPr>
        <w:t>6</w:t>
      </w:r>
      <w:r>
        <w:rPr>
          <w:rFonts w:hint="eastAsia"/>
          <w:b/>
          <w:color w:val="000000" w:themeColor="text1"/>
          <w:sz w:val="24"/>
          <w:highlight w:val="yellow"/>
          <w14:textFill>
            <w14:solidFill>
              <w14:schemeClr w14:val="tx1"/>
            </w14:solidFill>
          </w14:textFill>
        </w:rPr>
        <w:t>学分）</w:t>
      </w:r>
    </w:p>
    <w:p w14:paraId="519CBDCE">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包含：数学类课程、专业类基础课程。</w:t>
      </w:r>
    </w:p>
    <w:p w14:paraId="052A7576">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ascii="宋体" w:hAnsi="宋体" w:cs="仿宋_GB2312"/>
          <w:color w:val="000000" w:themeColor="text1"/>
          <w:kern w:val="0"/>
          <w:sz w:val="24"/>
          <w14:textFill>
            <w14:solidFill>
              <w14:schemeClr w14:val="tx1"/>
            </w14:solidFill>
          </w14:textFill>
        </w:rPr>
        <w:fldChar w:fldCharType="begin"/>
      </w:r>
      <w:r>
        <w:rPr>
          <w:rFonts w:ascii="宋体" w:hAnsi="宋体" w:cs="仿宋_GB2312"/>
          <w:color w:val="000000" w:themeColor="text1"/>
          <w:kern w:val="0"/>
          <w:sz w:val="24"/>
          <w14:textFill>
            <w14:solidFill>
              <w14:schemeClr w14:val="tx1"/>
            </w14:solidFill>
          </w14:textFill>
        </w:rPr>
        <w:instrText xml:space="preserve"> </w:instrText>
      </w:r>
      <w:r>
        <w:rPr>
          <w:rFonts w:hint="eastAsia" w:ascii="宋体" w:hAnsi="宋体" w:cs="仿宋_GB2312"/>
          <w:color w:val="000000" w:themeColor="text1"/>
          <w:kern w:val="0"/>
          <w:sz w:val="24"/>
          <w14:textFill>
            <w14:solidFill>
              <w14:schemeClr w14:val="tx1"/>
            </w14:solidFill>
          </w14:textFill>
        </w:rPr>
        <w:instrText xml:space="preserve">= 1 \* GB3</w:instrText>
      </w:r>
      <w:r>
        <w:rPr>
          <w:rFonts w:ascii="宋体" w:hAnsi="宋体" w:cs="仿宋_GB2312"/>
          <w:color w:val="000000" w:themeColor="text1"/>
          <w:kern w:val="0"/>
          <w:sz w:val="24"/>
          <w14:textFill>
            <w14:solidFill>
              <w14:schemeClr w14:val="tx1"/>
            </w14:solidFill>
          </w14:textFill>
        </w:rPr>
        <w:instrText xml:space="preserve"> </w:instrText>
      </w:r>
      <w:r>
        <w:rPr>
          <w:rFonts w:ascii="宋体" w:hAnsi="宋体" w:cs="仿宋_GB2312"/>
          <w:color w:val="000000" w:themeColor="text1"/>
          <w:kern w:val="0"/>
          <w:sz w:val="24"/>
          <w14:textFill>
            <w14:solidFill>
              <w14:schemeClr w14:val="tx1"/>
            </w14:solidFill>
          </w14:textFill>
        </w:rPr>
        <w:fldChar w:fldCharType="separate"/>
      </w:r>
      <w:r>
        <w:rPr>
          <w:rFonts w:hint="eastAsia" w:ascii="宋体" w:hAnsi="宋体" w:cs="仿宋_GB2312"/>
          <w:color w:val="000000" w:themeColor="text1"/>
          <w:kern w:val="0"/>
          <w:sz w:val="24"/>
          <w14:textFill>
            <w14:solidFill>
              <w14:schemeClr w14:val="tx1"/>
            </w14:solidFill>
          </w14:textFill>
        </w:rPr>
        <w:t>①</w:t>
      </w:r>
      <w:r>
        <w:rPr>
          <w:rFonts w:ascii="宋体" w:hAnsi="宋体" w:cs="仿宋_GB2312"/>
          <w:color w:val="000000" w:themeColor="text1"/>
          <w:kern w:val="0"/>
          <w:sz w:val="24"/>
          <w14:textFill>
            <w14:solidFill>
              <w14:schemeClr w14:val="tx1"/>
            </w14:solidFill>
          </w14:textFill>
        </w:rPr>
        <w:fldChar w:fldCharType="end"/>
      </w:r>
      <w:r>
        <w:rPr>
          <w:rFonts w:hint="eastAsia" w:ascii="宋体" w:hAnsi="宋体" w:cs="仿宋_GB2312"/>
          <w:color w:val="000000" w:themeColor="text1"/>
          <w:kern w:val="0"/>
          <w:sz w:val="24"/>
          <w14:textFill>
            <w14:solidFill>
              <w14:schemeClr w14:val="tx1"/>
            </w14:solidFill>
          </w14:textFill>
        </w:rPr>
        <w:t>数学类课程：</w:t>
      </w:r>
      <w:r>
        <w:rPr>
          <w:rFonts w:ascii="宋体" w:hAnsi="宋体" w:cs="仿宋_GB2312"/>
          <w:color w:val="000000" w:themeColor="text1"/>
          <w:kern w:val="0"/>
          <w:sz w:val="24"/>
          <w14:textFill>
            <w14:solidFill>
              <w14:schemeClr w14:val="tx1"/>
            </w14:solidFill>
          </w14:textFill>
        </w:rPr>
        <w:t>由</w:t>
      </w:r>
      <w:r>
        <w:rPr>
          <w:rFonts w:hint="eastAsia" w:ascii="宋体" w:hAnsi="宋体" w:cs="仿宋_GB2312"/>
          <w:color w:val="000000" w:themeColor="text1"/>
          <w:kern w:val="0"/>
          <w:sz w:val="24"/>
          <w14:textFill>
            <w14:solidFill>
              <w14:schemeClr w14:val="tx1"/>
            </w14:solidFill>
          </w14:textFill>
        </w:rPr>
        <w:t>数理学院</w:t>
      </w:r>
      <w:r>
        <w:rPr>
          <w:rFonts w:ascii="宋体" w:hAnsi="宋体" w:cs="仿宋_GB2312"/>
          <w:color w:val="000000" w:themeColor="text1"/>
          <w:kern w:val="0"/>
          <w:sz w:val="24"/>
          <w14:textFill>
            <w14:solidFill>
              <w14:schemeClr w14:val="tx1"/>
            </w14:solidFill>
          </w14:textFill>
        </w:rPr>
        <w:t>针对研究生开设的数学类课程。</w:t>
      </w:r>
    </w:p>
    <w:p w14:paraId="0641520A">
      <w:pPr>
        <w:autoSpaceDE w:val="0"/>
        <w:autoSpaceDN w:val="0"/>
        <w:adjustRightInd w:val="0"/>
        <w:spacing w:line="360" w:lineRule="auto"/>
        <w:ind w:firstLine="480" w:firstLineChars="200"/>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②专业类基础课程：</w:t>
      </w:r>
      <w:r>
        <w:rPr>
          <w:rFonts w:ascii="宋体" w:hAnsi="宋体" w:cs="仿宋_GB2312"/>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至少有一门指南目录内核心课程（</w:t>
      </w:r>
      <w:r>
        <w:rPr>
          <w:rFonts w:hint="eastAsia" w:ascii="宋体" w:hAnsi="宋体" w:cs="宋体"/>
          <w:b/>
          <w:color w:val="000000" w:themeColor="text1"/>
          <w:kern w:val="0"/>
          <w:sz w:val="24"/>
          <w14:textFill>
            <w14:solidFill>
              <w14:schemeClr w14:val="tx1"/>
            </w14:solidFill>
          </w14:textFill>
        </w:rPr>
        <w:t>在课程设置中标明</w:t>
      </w:r>
      <w:r>
        <w:rPr>
          <w:rFonts w:hint="eastAsia" w:ascii="宋体" w:hAnsi="宋体" w:cs="宋体"/>
          <w:color w:val="000000" w:themeColor="text1"/>
          <w:kern w:val="0"/>
          <w:sz w:val="24"/>
          <w14:textFill>
            <w14:solidFill>
              <w14:schemeClr w14:val="tx1"/>
            </w14:solidFill>
          </w14:textFill>
        </w:rPr>
        <w:t>）。不同院部分别招生和培养同一专业领域</w:t>
      </w:r>
      <w:r>
        <w:rPr>
          <w:rFonts w:hint="eastAsia" w:ascii="宋体" w:hAnsi="宋体" w:cs="宋体"/>
          <w:color w:val="000000" w:themeColor="text1"/>
          <w:sz w:val="24"/>
          <w14:textFill>
            <w14:solidFill>
              <w14:schemeClr w14:val="tx1"/>
            </w14:solidFill>
          </w14:textFill>
        </w:rPr>
        <w:t>（储能技术0</w:t>
      </w:r>
      <w:r>
        <w:rPr>
          <w:rFonts w:ascii="宋体" w:hAnsi="宋体" w:cs="宋体"/>
          <w:color w:val="000000" w:themeColor="text1"/>
          <w:sz w:val="24"/>
          <w14:textFill>
            <w14:solidFill>
              <w14:schemeClr w14:val="tx1"/>
            </w14:solidFill>
          </w14:textFill>
        </w:rPr>
        <w:t>85808</w:t>
      </w:r>
      <w:r>
        <w:rPr>
          <w:rFonts w:hint="eastAsia" w:ascii="宋体" w:hAnsi="宋体" w:cs="宋体"/>
          <w:color w:val="000000" w:themeColor="text1"/>
          <w:sz w:val="24"/>
          <w14:textFill>
            <w14:solidFill>
              <w14:schemeClr w14:val="tx1"/>
            </w14:solidFill>
          </w14:textFill>
        </w:rPr>
        <w:t>、清洁能源技术085807、大数据技术与工程085411）</w:t>
      </w:r>
      <w:r>
        <w:rPr>
          <w:rFonts w:hint="eastAsia" w:ascii="宋体" w:hAnsi="宋体" w:cs="宋体"/>
          <w:color w:val="000000" w:themeColor="text1"/>
          <w:kern w:val="0"/>
          <w:sz w:val="24"/>
          <w14:textFill>
            <w14:solidFill>
              <w14:schemeClr w14:val="tx1"/>
            </w14:solidFill>
          </w14:textFill>
        </w:rPr>
        <w:t>研究生的，保证同一专业学位领域培养一定的共通性（</w:t>
      </w:r>
      <w:r>
        <w:rPr>
          <w:rFonts w:hint="eastAsia" w:ascii="宋体" w:hAnsi="宋体" w:cs="宋体"/>
          <w:b/>
          <w:color w:val="000000" w:themeColor="text1"/>
          <w:kern w:val="0"/>
          <w:sz w:val="24"/>
          <w14:textFill>
            <w14:solidFill>
              <w14:schemeClr w14:val="tx1"/>
            </w14:solidFill>
          </w14:textFill>
        </w:rPr>
        <w:t>专业基础课中须1-2门相同课程</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b/>
          <w:color w:val="000000" w:themeColor="text1"/>
          <w:kern w:val="0"/>
          <w:sz w:val="24"/>
          <w:highlight w:val="yellow"/>
          <w14:textFill>
            <w14:solidFill>
              <w14:schemeClr w14:val="tx1"/>
            </w14:solidFill>
          </w14:textFill>
        </w:rPr>
        <w:t>根据不同专业领域特点，至少设置一门AI</w:t>
      </w:r>
      <w:r>
        <w:rPr>
          <w:rFonts w:ascii="宋体" w:hAnsi="宋体" w:cs="宋体"/>
          <w:b/>
          <w:color w:val="000000" w:themeColor="text1"/>
          <w:kern w:val="0"/>
          <w:sz w:val="24"/>
          <w:highlight w:val="yellow"/>
          <w14:textFill>
            <w14:solidFill>
              <w14:schemeClr w14:val="tx1"/>
            </w14:solidFill>
          </w14:textFill>
        </w:rPr>
        <w:t>+</w:t>
      </w:r>
      <w:r>
        <w:rPr>
          <w:rFonts w:hint="eastAsia" w:ascii="宋体" w:hAnsi="宋体" w:cs="宋体"/>
          <w:b/>
          <w:color w:val="000000" w:themeColor="text1"/>
          <w:kern w:val="0"/>
          <w:sz w:val="24"/>
          <w:highlight w:val="yellow"/>
          <w14:textFill>
            <w14:solidFill>
              <w14:schemeClr w14:val="tx1"/>
            </w14:solidFill>
          </w14:textFill>
        </w:rPr>
        <w:t>专业课程（在课程设置中标明），推动人工智能与本专业领域的深度融合</w:t>
      </w:r>
      <w:r>
        <w:rPr>
          <w:rFonts w:hint="eastAsia" w:ascii="宋体" w:hAnsi="宋体" w:cs="宋体"/>
          <w:b/>
          <w:color w:val="000000" w:themeColor="text1"/>
          <w:kern w:val="0"/>
          <w:sz w:val="24"/>
          <w:highlight w:val="yellow"/>
          <w:lang w:eastAsia="zh-CN"/>
          <w14:textFill>
            <w14:solidFill>
              <w14:schemeClr w14:val="tx1"/>
            </w14:solidFill>
          </w14:textFill>
        </w:rPr>
        <w:t>；鼓励将核心课程建设成为AI+专业课程</w:t>
      </w:r>
      <w:r>
        <w:rPr>
          <w:rFonts w:hint="eastAsia" w:ascii="宋体" w:hAnsi="宋体" w:cs="宋体"/>
          <w:b/>
          <w:color w:val="000000" w:themeColor="text1"/>
          <w:kern w:val="0"/>
          <w:sz w:val="24"/>
          <w:highlight w:val="yellow"/>
          <w14:textFill>
            <w14:solidFill>
              <w14:schemeClr w14:val="tx1"/>
            </w14:solidFill>
          </w14:textFill>
        </w:rPr>
        <w:t>。</w:t>
      </w:r>
    </w:p>
    <w:p w14:paraId="27E829D8">
      <w:pPr>
        <w:autoSpaceDE w:val="0"/>
        <w:autoSpaceDN w:val="0"/>
        <w:adjustRightInd w:val="0"/>
        <w:spacing w:line="360" w:lineRule="auto"/>
        <w:ind w:firstLine="482" w:firstLineChars="200"/>
        <w:jc w:val="left"/>
        <w:rPr>
          <w:rFonts w:ascii="宋体" w:hAnsi="宋体" w:cs="仿宋_GB2312"/>
          <w:b/>
          <w:color w:val="000000" w:themeColor="text1"/>
          <w:kern w:val="0"/>
          <w:sz w:val="24"/>
          <w14:textFill>
            <w14:solidFill>
              <w14:schemeClr w14:val="tx1"/>
            </w14:solidFill>
          </w14:textFill>
        </w:rPr>
      </w:pPr>
      <w:r>
        <w:rPr>
          <w:rFonts w:ascii="宋体" w:hAnsi="宋体" w:cs="仿宋_GB2312"/>
          <w:b/>
          <w:color w:val="000000" w:themeColor="text1"/>
          <w:kern w:val="0"/>
          <w:sz w:val="24"/>
          <w14:textFill>
            <w14:solidFill>
              <w14:schemeClr w14:val="tx1"/>
            </w14:solidFill>
          </w14:textFill>
        </w:rPr>
        <w:t>3</w:t>
      </w:r>
      <w:r>
        <w:rPr>
          <w:rFonts w:hint="eastAsia" w:ascii="宋体" w:hAnsi="宋体" w:cs="仿宋_GB2312"/>
          <w:b/>
          <w:color w:val="000000" w:themeColor="text1"/>
          <w:kern w:val="0"/>
          <w:sz w:val="24"/>
          <w14:textFill>
            <w14:solidFill>
              <w14:schemeClr w14:val="tx1"/>
            </w14:solidFill>
          </w14:textFill>
        </w:rPr>
        <w:t>）选修课程</w:t>
      </w:r>
    </w:p>
    <w:p w14:paraId="109A0183">
      <w:pPr>
        <w:autoSpaceDE w:val="0"/>
        <w:autoSpaceDN w:val="0"/>
        <w:adjustRightInd w:val="0"/>
        <w:spacing w:line="360" w:lineRule="auto"/>
        <w:ind w:firstLine="480" w:firstLineChars="200"/>
        <w:jc w:val="left"/>
        <w:rPr>
          <w:rFonts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包括：专业技术课程</w:t>
      </w:r>
      <w:r>
        <w:rPr>
          <w:rFonts w:hint="eastAsia" w:ascii="宋体" w:hAnsi="宋体" w:cs="宋体"/>
          <w:color w:val="000000" w:themeColor="text1"/>
          <w:kern w:val="0"/>
          <w:sz w:val="24"/>
          <w14:textFill>
            <w14:solidFill>
              <w14:schemeClr w14:val="tx1"/>
            </w14:solidFill>
          </w14:textFill>
        </w:rPr>
        <w:t>(应</w:t>
      </w:r>
      <w:r>
        <w:rPr>
          <w:rFonts w:hint="eastAsia" w:ascii="宋体" w:hAnsi="宋体" w:cs="宋体"/>
          <w:color w:val="000000" w:themeColor="text1"/>
          <w:kern w:val="0"/>
          <w:sz w:val="24"/>
          <w:lang w:bidi="ar"/>
          <w14:textFill>
            <w14:solidFill>
              <w14:schemeClr w14:val="tx1"/>
            </w14:solidFill>
          </w14:textFill>
        </w:rPr>
        <w:t>包含产教融合、实践性课程）专业特色课程和</w:t>
      </w:r>
      <w:r>
        <w:rPr>
          <w:rFonts w:hint="eastAsia" w:ascii="宋体" w:hAnsi="宋体" w:cs="仿宋_GB2312"/>
          <w:color w:val="000000" w:themeColor="text1"/>
          <w:kern w:val="0"/>
          <w:sz w:val="24"/>
          <w14:textFill>
            <w14:solidFill>
              <w14:schemeClr w14:val="tx1"/>
            </w14:solidFill>
          </w14:textFill>
        </w:rPr>
        <w:t>公共选修课程。</w:t>
      </w:r>
    </w:p>
    <w:p w14:paraId="7F38C159">
      <w:pPr>
        <w:autoSpaceDE w:val="0"/>
        <w:autoSpaceDN w:val="0"/>
        <w:adjustRightInd w:val="0"/>
        <w:spacing w:line="360" w:lineRule="auto"/>
        <w:ind w:firstLine="480" w:firstLineChars="200"/>
        <w:rPr>
          <w:rFonts w:ascii="宋体" w:hAnsi="宋体" w:cs="宋体"/>
          <w:color w:val="000000" w:themeColor="text1"/>
          <w:kern w:val="0"/>
          <w:sz w:val="24"/>
          <w:highlight w:val="yellow"/>
          <w:lang w:bidi="ar"/>
          <w14:textFill>
            <w14:solidFill>
              <w14:schemeClr w14:val="tx1"/>
            </w14:solidFill>
          </w14:textFill>
        </w:rPr>
      </w:pPr>
      <w:r>
        <w:rPr>
          <w:rFonts w:ascii="宋体" w:hAnsi="宋体" w:cs="仿宋_GB2312"/>
          <w:color w:val="000000" w:themeColor="text1"/>
          <w:kern w:val="0"/>
          <w:sz w:val="24"/>
          <w14:textFill>
            <w14:solidFill>
              <w14:schemeClr w14:val="tx1"/>
            </w14:solidFill>
          </w14:textFill>
        </w:rPr>
        <w:fldChar w:fldCharType="begin"/>
      </w:r>
      <w:r>
        <w:rPr>
          <w:rFonts w:ascii="宋体" w:hAnsi="宋体" w:cs="仿宋_GB2312"/>
          <w:color w:val="000000" w:themeColor="text1"/>
          <w:kern w:val="0"/>
          <w:sz w:val="24"/>
          <w14:textFill>
            <w14:solidFill>
              <w14:schemeClr w14:val="tx1"/>
            </w14:solidFill>
          </w14:textFill>
        </w:rPr>
        <w:instrText xml:space="preserve"> </w:instrText>
      </w:r>
      <w:r>
        <w:rPr>
          <w:rFonts w:hint="eastAsia" w:ascii="宋体" w:hAnsi="宋体" w:cs="仿宋_GB2312"/>
          <w:color w:val="000000" w:themeColor="text1"/>
          <w:kern w:val="0"/>
          <w:sz w:val="24"/>
          <w14:textFill>
            <w14:solidFill>
              <w14:schemeClr w14:val="tx1"/>
            </w14:solidFill>
          </w14:textFill>
        </w:rPr>
        <w:instrText xml:space="preserve">= 1 \* GB3</w:instrText>
      </w:r>
      <w:r>
        <w:rPr>
          <w:rFonts w:ascii="宋体" w:hAnsi="宋体" w:cs="仿宋_GB2312"/>
          <w:color w:val="000000" w:themeColor="text1"/>
          <w:kern w:val="0"/>
          <w:sz w:val="24"/>
          <w14:textFill>
            <w14:solidFill>
              <w14:schemeClr w14:val="tx1"/>
            </w14:solidFill>
          </w14:textFill>
        </w:rPr>
        <w:instrText xml:space="preserve"> </w:instrText>
      </w:r>
      <w:r>
        <w:rPr>
          <w:rFonts w:ascii="宋体" w:hAnsi="宋体" w:cs="仿宋_GB2312"/>
          <w:color w:val="000000" w:themeColor="text1"/>
          <w:kern w:val="0"/>
          <w:sz w:val="24"/>
          <w14:textFill>
            <w14:solidFill>
              <w14:schemeClr w14:val="tx1"/>
            </w14:solidFill>
          </w14:textFill>
        </w:rPr>
        <w:fldChar w:fldCharType="separate"/>
      </w:r>
      <w:r>
        <w:rPr>
          <w:rFonts w:hint="eastAsia" w:ascii="宋体" w:hAnsi="宋体" w:cs="仿宋_GB2312"/>
          <w:color w:val="000000" w:themeColor="text1"/>
          <w:kern w:val="0"/>
          <w:sz w:val="24"/>
          <w14:textFill>
            <w14:solidFill>
              <w14:schemeClr w14:val="tx1"/>
            </w14:solidFill>
          </w14:textFill>
        </w:rPr>
        <w:t>①</w:t>
      </w:r>
      <w:r>
        <w:rPr>
          <w:rFonts w:ascii="宋体" w:hAnsi="宋体" w:cs="仿宋_GB2312"/>
          <w:color w:val="000000" w:themeColor="text1"/>
          <w:kern w:val="0"/>
          <w:sz w:val="24"/>
          <w14:textFill>
            <w14:solidFill>
              <w14:schemeClr w14:val="tx1"/>
            </w14:solidFill>
          </w14:textFill>
        </w:rPr>
        <w:fldChar w:fldCharType="end"/>
      </w:r>
      <w:r>
        <w:rPr>
          <w:rFonts w:hint="eastAsia" w:ascii="宋体" w:hAnsi="宋体" w:cs="仿宋_GB2312"/>
          <w:bCs/>
          <w:color w:val="000000" w:themeColor="text1"/>
          <w:kern w:val="0"/>
          <w:sz w:val="24"/>
          <w14:textFill>
            <w14:solidFill>
              <w14:schemeClr w14:val="tx1"/>
            </w14:solidFill>
          </w14:textFill>
        </w:rPr>
        <w:t>专业技术课程：</w:t>
      </w:r>
      <w:r>
        <w:rPr>
          <w:rFonts w:hint="eastAsia" w:ascii="宋体" w:hAnsi="宋体" w:cs="宋体"/>
          <w:color w:val="000000" w:themeColor="text1"/>
          <w:kern w:val="0"/>
          <w:sz w:val="24"/>
          <w:lang w:bidi="ar"/>
          <w14:textFill>
            <w14:solidFill>
              <w14:schemeClr w14:val="tx1"/>
            </w14:solidFill>
          </w14:textFill>
        </w:rPr>
        <w:t>是指导师（组）依据学生培养、研究项目需求制定教学内容/学习任务的课程，制定个性化学习目标、任务、考核方式，增加人工智能赋能专业发展内容。具体课程名称及学分，由院部根据本专业特色确定。</w:t>
      </w:r>
      <w:r>
        <w:rPr>
          <w:rFonts w:hint="eastAsia" w:ascii="宋体" w:hAnsi="宋体" w:cs="宋体"/>
          <w:b/>
          <w:color w:val="000000" w:themeColor="text1"/>
          <w:kern w:val="0"/>
          <w:sz w:val="24"/>
          <w:lang w:bidi="ar"/>
          <w14:textFill>
            <w14:solidFill>
              <w14:schemeClr w14:val="tx1"/>
            </w14:solidFill>
          </w14:textFill>
        </w:rPr>
        <w:t>至少需要涵盖一门《研究生学科交叉课程目录》中学科交叉课程。</w:t>
      </w:r>
      <w:r>
        <w:rPr>
          <w:rFonts w:hint="eastAsia" w:ascii="宋体" w:hAnsi="宋体" w:cs="宋体"/>
          <w:b/>
          <w:color w:val="000000" w:themeColor="text1"/>
          <w:kern w:val="0"/>
          <w:sz w:val="24"/>
          <w:highlight w:val="yellow"/>
          <w:lang w:bidi="ar"/>
          <w14:textFill>
            <w14:solidFill>
              <w14:schemeClr w14:val="tx1"/>
            </w14:solidFill>
          </w14:textFill>
        </w:rPr>
        <w:t>同时，每个专业需结合自身特色设置1门以上产教融合课程（在课程设置中标明），此类课程应由校企双方共同设计、共同讲授，将产业界的真实项目、真实案例、真实问题融入教学过程；建议采用项目式学习、案例教学等实践性教学模式，鼓励基于学校综合能源研发平台开设相关课程。</w:t>
      </w:r>
    </w:p>
    <w:p w14:paraId="2AE415E1">
      <w:pPr>
        <w:autoSpaceDE w:val="0"/>
        <w:autoSpaceDN w:val="0"/>
        <w:adjustRightInd w:val="0"/>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仿宋_GB2312"/>
          <w:bCs/>
          <w:color w:val="000000" w:themeColor="text1"/>
          <w:kern w:val="0"/>
          <w:sz w:val="24"/>
          <w14:textFill>
            <w14:solidFill>
              <w14:schemeClr w14:val="tx1"/>
            </w14:solidFill>
          </w14:textFill>
        </w:rPr>
        <w:t>②专业特色课程</w:t>
      </w:r>
      <w:r>
        <w:rPr>
          <w:rFonts w:hint="eastAsia" w:ascii="宋体" w:hAnsi="宋体" w:cs="仿宋_GB2312"/>
          <w:bCs/>
          <w:color w:val="000000" w:themeColor="text1"/>
          <w:kern w:val="0"/>
          <w:sz w:val="24"/>
          <w:highlight w:val="yellow"/>
          <w14:textFill>
            <w14:solidFill>
              <w14:schemeClr w14:val="tx1"/>
            </w14:solidFill>
          </w14:textFill>
        </w:rPr>
        <w:t>（</w:t>
      </w:r>
      <w:r>
        <w:rPr>
          <w:rFonts w:ascii="宋体" w:hAnsi="宋体" w:cs="仿宋_GB2312"/>
          <w:bCs/>
          <w:color w:val="000000" w:themeColor="text1"/>
          <w:kern w:val="0"/>
          <w:sz w:val="24"/>
          <w:highlight w:val="yellow"/>
          <w14:textFill>
            <w14:solidFill>
              <w14:schemeClr w14:val="tx1"/>
            </w14:solidFill>
          </w14:textFill>
        </w:rPr>
        <w:t>4</w:t>
      </w:r>
      <w:r>
        <w:rPr>
          <w:rFonts w:hint="eastAsia" w:ascii="宋体" w:hAnsi="宋体" w:cs="仿宋_GB2312"/>
          <w:bCs/>
          <w:color w:val="000000" w:themeColor="text1"/>
          <w:kern w:val="0"/>
          <w:sz w:val="24"/>
          <w:highlight w:val="yellow"/>
          <w14:textFill>
            <w14:solidFill>
              <w14:schemeClr w14:val="tx1"/>
            </w14:solidFill>
          </w14:textFill>
        </w:rPr>
        <w:t>学分）</w:t>
      </w:r>
      <w:r>
        <w:rPr>
          <w:rFonts w:hint="eastAsia" w:ascii="宋体" w:hAnsi="宋体" w:cs="仿宋_GB2312"/>
          <w:bCs/>
          <w:color w:val="000000" w:themeColor="text1"/>
          <w:kern w:val="0"/>
          <w:sz w:val="24"/>
          <w14:textFill>
            <w14:solidFill>
              <w14:schemeClr w14:val="tx1"/>
            </w14:solidFill>
          </w14:textFill>
        </w:rPr>
        <w:t>：结合专业特色，设置技术前沿、技术应用实践课程。</w:t>
      </w:r>
    </w:p>
    <w:p w14:paraId="7FF36A91">
      <w:pPr>
        <w:autoSpaceDE w:val="0"/>
        <w:autoSpaceDN w:val="0"/>
        <w:adjustRightInd w:val="0"/>
        <w:spacing w:line="360" w:lineRule="auto"/>
        <w:ind w:firstLine="480" w:firstLineChars="200"/>
        <w:jc w:val="left"/>
        <w:rPr>
          <w:rFonts w:ascii="宋体" w:hAnsi="宋体" w:cs="宋体"/>
          <w:color w:val="000000" w:themeColor="text1"/>
          <w:kern w:val="0"/>
          <w:sz w:val="24"/>
          <w:highlight w:val="yellow"/>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③公共选修课程：见《研究生公共选修课程目录》，包含思哲类、计算机类、经管类、数学类、外语类、写作及检索类、创新类、心理类、人文素养类、体育健身类等，体现“五育并举”。</w:t>
      </w:r>
      <w:r>
        <w:rPr>
          <w:rFonts w:hint="eastAsia" w:ascii="宋体" w:hAnsi="宋体" w:cs="仿宋_GB2312"/>
          <w:b/>
          <w:bCs/>
          <w:color w:val="000000" w:themeColor="text1"/>
          <w:kern w:val="0"/>
          <w:sz w:val="24"/>
          <w:highlight w:val="yellow"/>
          <w14:textFill>
            <w14:solidFill>
              <w14:schemeClr w14:val="tx1"/>
            </w14:solidFill>
          </w14:textFill>
        </w:rPr>
        <w:t>需涵盖至少1学分创新创业实践，</w:t>
      </w:r>
      <w:r>
        <w:rPr>
          <w:rFonts w:hint="eastAsia" w:ascii="宋体" w:hAnsi="宋体" w:cs="仿宋_GB2312"/>
          <w:color w:val="000000" w:themeColor="text1"/>
          <w:kern w:val="0"/>
          <w:sz w:val="24"/>
          <w:highlight w:val="yellow"/>
          <w14:textFill>
            <w14:solidFill>
              <w14:schemeClr w14:val="tx1"/>
            </w14:solidFill>
          </w14:textFill>
        </w:rPr>
        <w:t>各院部应制定明确的任务要求和考核指标。</w:t>
      </w:r>
    </w:p>
    <w:p w14:paraId="2E2AFA98">
      <w:pPr>
        <w:autoSpaceDE w:val="0"/>
        <w:autoSpaceDN w:val="0"/>
        <w:adjustRightInd w:val="0"/>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p>
    <w:bookmarkEnd w:id="1"/>
    <w:p w14:paraId="4B61599D">
      <w:pPr>
        <w:spacing w:line="360" w:lineRule="auto"/>
        <w:jc w:val="center"/>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**专业学位硕士研究生课程及学分设置</w:t>
      </w:r>
    </w:p>
    <w:tbl>
      <w:tblPr>
        <w:tblStyle w:val="5"/>
        <w:tblW w:w="87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4"/>
        <w:gridCol w:w="1216"/>
        <w:gridCol w:w="1134"/>
        <w:gridCol w:w="3686"/>
        <w:gridCol w:w="708"/>
        <w:gridCol w:w="709"/>
        <w:gridCol w:w="851"/>
      </w:tblGrid>
      <w:tr w14:paraId="407BD8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1640" w:type="dxa"/>
            <w:gridSpan w:val="2"/>
          </w:tcPr>
          <w:p w14:paraId="5E8291E0">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课程类别</w:t>
            </w:r>
          </w:p>
          <w:p w14:paraId="50ED900D">
            <w:pPr>
              <w:pStyle w:val="8"/>
              <w:spacing w:line="240" w:lineRule="auto"/>
              <w:rPr>
                <w:color w:val="000000" w:themeColor="text1"/>
                <w:sz w:val="18"/>
                <w:szCs w:val="18"/>
                <w14:textFill>
                  <w14:solidFill>
                    <w14:schemeClr w14:val="tx1"/>
                  </w14:solidFill>
                </w14:textFill>
              </w:rPr>
            </w:pPr>
            <w:r>
              <w:rPr>
                <w:color w:val="000000" w:themeColor="text1"/>
                <w:highlight w:val="yellow"/>
                <w14:textFill>
                  <w14:solidFill>
                    <w14:schemeClr w14:val="tx1"/>
                  </w14:solidFill>
                </w14:textFill>
              </w:rPr>
              <w:t>≥30学分</w:t>
            </w:r>
          </w:p>
        </w:tc>
        <w:tc>
          <w:tcPr>
            <w:tcW w:w="1134" w:type="dxa"/>
            <w:vAlign w:val="center"/>
          </w:tcPr>
          <w:p w14:paraId="13AB1F83">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课程编号</w:t>
            </w:r>
          </w:p>
        </w:tc>
        <w:tc>
          <w:tcPr>
            <w:tcW w:w="3686" w:type="dxa"/>
            <w:vAlign w:val="center"/>
          </w:tcPr>
          <w:p w14:paraId="3C372E6A">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课程名称（中英文）</w:t>
            </w:r>
          </w:p>
        </w:tc>
        <w:tc>
          <w:tcPr>
            <w:tcW w:w="708" w:type="dxa"/>
            <w:vAlign w:val="center"/>
          </w:tcPr>
          <w:p w14:paraId="705B5CA9">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学分</w:t>
            </w:r>
          </w:p>
        </w:tc>
        <w:tc>
          <w:tcPr>
            <w:tcW w:w="709" w:type="dxa"/>
            <w:vAlign w:val="center"/>
          </w:tcPr>
          <w:p w14:paraId="072B4BAC">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学期</w:t>
            </w:r>
          </w:p>
        </w:tc>
        <w:tc>
          <w:tcPr>
            <w:tcW w:w="851" w:type="dxa"/>
            <w:vAlign w:val="center"/>
          </w:tcPr>
          <w:p w14:paraId="14970B6F">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备注</w:t>
            </w:r>
          </w:p>
        </w:tc>
      </w:tr>
      <w:tr w14:paraId="720F8C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424" w:type="dxa"/>
            <w:vMerge w:val="restart"/>
            <w:vAlign w:val="center"/>
          </w:tcPr>
          <w:p w14:paraId="2028ED3C">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必修课程</w:t>
            </w:r>
          </w:p>
        </w:tc>
        <w:tc>
          <w:tcPr>
            <w:tcW w:w="1216" w:type="dxa"/>
            <w:vMerge w:val="restart"/>
            <w:vAlign w:val="center"/>
          </w:tcPr>
          <w:p w14:paraId="713134A2">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公共</w:t>
            </w:r>
            <w:r>
              <w:rPr>
                <w:rFonts w:hint="eastAsia"/>
                <w:color w:val="000000" w:themeColor="text1"/>
                <w:sz w:val="18"/>
                <w:szCs w:val="18"/>
                <w14:textFill>
                  <w14:solidFill>
                    <w14:schemeClr w14:val="tx1"/>
                  </w14:solidFill>
                </w14:textFill>
              </w:rPr>
              <w:t>基础</w:t>
            </w:r>
          </w:p>
          <w:p w14:paraId="18F12DD9">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=8学分</w:t>
            </w:r>
          </w:p>
        </w:tc>
        <w:tc>
          <w:tcPr>
            <w:tcW w:w="1134" w:type="dxa"/>
            <w:vAlign w:val="center"/>
          </w:tcPr>
          <w:p w14:paraId="6918CAE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10M5001</w:t>
            </w:r>
          </w:p>
        </w:tc>
        <w:tc>
          <w:tcPr>
            <w:tcW w:w="3686" w:type="dxa"/>
            <w:vAlign w:val="center"/>
          </w:tcPr>
          <w:p w14:paraId="04FF1581">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中国特色社会主义理论与实践研究</w:t>
            </w:r>
          </w:p>
          <w:p w14:paraId="514D563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Socialism with Chinese Characteristics: Theory and Practice</w:t>
            </w:r>
          </w:p>
        </w:tc>
        <w:tc>
          <w:tcPr>
            <w:tcW w:w="708" w:type="dxa"/>
            <w:vAlign w:val="center"/>
          </w:tcPr>
          <w:p w14:paraId="43CB9BA9">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709" w:type="dxa"/>
            <w:vAlign w:val="center"/>
          </w:tcPr>
          <w:p w14:paraId="09C7FEF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5CD58D83">
            <w:pPr>
              <w:pStyle w:val="8"/>
              <w:spacing w:line="240" w:lineRule="auto"/>
              <w:rPr>
                <w:color w:val="000000" w:themeColor="text1"/>
                <w:sz w:val="18"/>
                <w:szCs w:val="18"/>
                <w14:textFill>
                  <w14:solidFill>
                    <w14:schemeClr w14:val="tx1"/>
                  </w14:solidFill>
                </w14:textFill>
              </w:rPr>
            </w:pPr>
          </w:p>
        </w:tc>
      </w:tr>
      <w:tr w14:paraId="740AF1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424" w:type="dxa"/>
            <w:vMerge w:val="continue"/>
            <w:vAlign w:val="center"/>
          </w:tcPr>
          <w:p w14:paraId="795317CF">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01ACA931">
            <w:pPr>
              <w:pStyle w:val="8"/>
              <w:spacing w:line="240" w:lineRule="auto"/>
              <w:rPr>
                <w:color w:val="000000" w:themeColor="text1"/>
                <w:sz w:val="18"/>
                <w:szCs w:val="18"/>
                <w14:textFill>
                  <w14:solidFill>
                    <w14:schemeClr w14:val="tx1"/>
                  </w14:solidFill>
                </w14:textFill>
              </w:rPr>
            </w:pPr>
          </w:p>
        </w:tc>
        <w:tc>
          <w:tcPr>
            <w:tcW w:w="1134" w:type="dxa"/>
            <w:vAlign w:val="center"/>
          </w:tcPr>
          <w:p w14:paraId="6569122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10M5002</w:t>
            </w:r>
          </w:p>
        </w:tc>
        <w:tc>
          <w:tcPr>
            <w:tcW w:w="3686" w:type="dxa"/>
            <w:vAlign w:val="center"/>
          </w:tcPr>
          <w:p w14:paraId="27CD1B01">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自然辩证法概论</w:t>
            </w:r>
          </w:p>
          <w:p w14:paraId="71B1898F">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Introduction to Nature Dialectics</w:t>
            </w:r>
          </w:p>
        </w:tc>
        <w:tc>
          <w:tcPr>
            <w:tcW w:w="708" w:type="dxa"/>
            <w:vAlign w:val="center"/>
          </w:tcPr>
          <w:p w14:paraId="4A44C2D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709" w:type="dxa"/>
            <w:vAlign w:val="center"/>
          </w:tcPr>
          <w:p w14:paraId="062339A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75B91C68">
            <w:pPr>
              <w:pStyle w:val="8"/>
              <w:spacing w:line="240" w:lineRule="auto"/>
              <w:rPr>
                <w:color w:val="000000" w:themeColor="text1"/>
                <w:sz w:val="18"/>
                <w:szCs w:val="18"/>
                <w14:textFill>
                  <w14:solidFill>
                    <w14:schemeClr w14:val="tx1"/>
                  </w14:solidFill>
                </w14:textFill>
              </w:rPr>
            </w:pPr>
          </w:p>
        </w:tc>
      </w:tr>
      <w:tr w14:paraId="67700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424" w:type="dxa"/>
            <w:vMerge w:val="continue"/>
            <w:vAlign w:val="center"/>
          </w:tcPr>
          <w:p w14:paraId="429DA8CB">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46E67033">
            <w:pPr>
              <w:pStyle w:val="8"/>
              <w:spacing w:line="240" w:lineRule="auto"/>
              <w:rPr>
                <w:color w:val="000000" w:themeColor="text1"/>
                <w:sz w:val="18"/>
                <w:szCs w:val="18"/>
                <w14:textFill>
                  <w14:solidFill>
                    <w14:schemeClr w14:val="tx1"/>
                  </w14:solidFill>
                </w14:textFill>
              </w:rPr>
            </w:pPr>
          </w:p>
        </w:tc>
        <w:tc>
          <w:tcPr>
            <w:tcW w:w="1134" w:type="dxa"/>
            <w:vAlign w:val="center"/>
          </w:tcPr>
          <w:p w14:paraId="5EEA8F12">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09M5001</w:t>
            </w:r>
          </w:p>
        </w:tc>
        <w:tc>
          <w:tcPr>
            <w:tcW w:w="3686" w:type="dxa"/>
            <w:vAlign w:val="center"/>
          </w:tcPr>
          <w:p w14:paraId="5C8A2727">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研究生综合英语</w:t>
            </w:r>
          </w:p>
          <w:p w14:paraId="57A2A85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Graduate Comprehensive English</w:t>
            </w:r>
          </w:p>
        </w:tc>
        <w:tc>
          <w:tcPr>
            <w:tcW w:w="708" w:type="dxa"/>
            <w:vAlign w:val="center"/>
          </w:tcPr>
          <w:p w14:paraId="3AA630EF">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709" w:type="dxa"/>
            <w:vAlign w:val="center"/>
          </w:tcPr>
          <w:p w14:paraId="5AB9E4E0">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33E13FD8">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除翻译</w:t>
            </w:r>
            <w:r>
              <w:rPr>
                <w:rFonts w:hint="eastAsia"/>
                <w:color w:val="000000" w:themeColor="text1"/>
                <w:sz w:val="18"/>
                <w:szCs w:val="18"/>
                <w14:textFill>
                  <w14:solidFill>
                    <w14:schemeClr w14:val="tx1"/>
                  </w14:solidFill>
                </w14:textFill>
              </w:rPr>
              <w:t>专业</w:t>
            </w:r>
            <w:r>
              <w:rPr>
                <w:color w:val="000000" w:themeColor="text1"/>
                <w:sz w:val="18"/>
                <w:szCs w:val="18"/>
                <w14:textFill>
                  <w14:solidFill>
                    <w14:schemeClr w14:val="tx1"/>
                  </w14:solidFill>
                </w14:textFill>
              </w:rPr>
              <w:t>外</w:t>
            </w:r>
          </w:p>
        </w:tc>
      </w:tr>
      <w:tr w14:paraId="74DAB5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424" w:type="dxa"/>
            <w:vMerge w:val="continue"/>
            <w:vAlign w:val="center"/>
          </w:tcPr>
          <w:p w14:paraId="70B9675C">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707AEA90">
            <w:pPr>
              <w:pStyle w:val="8"/>
              <w:spacing w:line="240" w:lineRule="auto"/>
              <w:rPr>
                <w:color w:val="000000" w:themeColor="text1"/>
                <w:sz w:val="18"/>
                <w:szCs w:val="18"/>
                <w14:textFill>
                  <w14:solidFill>
                    <w14:schemeClr w14:val="tx1"/>
                  </w14:solidFill>
                </w14:textFill>
              </w:rPr>
            </w:pPr>
          </w:p>
        </w:tc>
        <w:tc>
          <w:tcPr>
            <w:tcW w:w="1134" w:type="dxa"/>
            <w:vAlign w:val="center"/>
          </w:tcPr>
          <w:p w14:paraId="50762E8A">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10M5003</w:t>
            </w:r>
          </w:p>
        </w:tc>
        <w:tc>
          <w:tcPr>
            <w:tcW w:w="3686" w:type="dxa"/>
            <w:vAlign w:val="center"/>
          </w:tcPr>
          <w:p w14:paraId="7407EC5B">
            <w:pPr>
              <w:pStyle w:val="8"/>
              <w:spacing w:line="240" w:lineRule="auto"/>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科学道德与学术规范</w:t>
            </w:r>
          </w:p>
        </w:tc>
        <w:tc>
          <w:tcPr>
            <w:tcW w:w="708" w:type="dxa"/>
            <w:vAlign w:val="center"/>
          </w:tcPr>
          <w:p w14:paraId="774A9CB8">
            <w:pPr>
              <w:pStyle w:val="8"/>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p>
        </w:tc>
        <w:tc>
          <w:tcPr>
            <w:tcW w:w="709" w:type="dxa"/>
            <w:vAlign w:val="center"/>
          </w:tcPr>
          <w:p w14:paraId="50DF215B">
            <w:pPr>
              <w:pStyle w:val="8"/>
              <w:spacing w:line="240" w:lineRule="auto"/>
              <w:rPr>
                <w:bCs/>
                <w:color w:val="000000" w:themeColor="text1"/>
                <w:sz w:val="18"/>
                <w:szCs w:val="18"/>
                <w14:textFill>
                  <w14:solidFill>
                    <w14:schemeClr w14:val="tx1"/>
                  </w14:solidFill>
                </w14:textFill>
              </w:rPr>
            </w:pPr>
            <w:r>
              <w:rPr>
                <w:bCs/>
                <w:color w:val="000000" w:themeColor="text1"/>
                <w:sz w:val="18"/>
                <w:szCs w:val="18"/>
                <w14:textFill>
                  <w14:solidFill>
                    <w14:schemeClr w14:val="tx1"/>
                  </w14:solidFill>
                </w14:textFill>
              </w:rPr>
              <w:t>1</w:t>
            </w:r>
          </w:p>
        </w:tc>
        <w:tc>
          <w:tcPr>
            <w:tcW w:w="851" w:type="dxa"/>
            <w:vAlign w:val="center"/>
          </w:tcPr>
          <w:p w14:paraId="6A1A48BA">
            <w:pPr>
              <w:pStyle w:val="8"/>
              <w:spacing w:line="240" w:lineRule="auto"/>
              <w:rPr>
                <w:bCs/>
                <w:color w:val="000000" w:themeColor="text1"/>
                <w:sz w:val="18"/>
                <w:szCs w:val="18"/>
                <w14:textFill>
                  <w14:solidFill>
                    <w14:schemeClr w14:val="tx1"/>
                  </w14:solidFill>
                </w14:textFill>
              </w:rPr>
            </w:pPr>
          </w:p>
        </w:tc>
      </w:tr>
      <w:tr w14:paraId="609D3F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424" w:type="dxa"/>
            <w:vMerge w:val="continue"/>
            <w:vAlign w:val="center"/>
          </w:tcPr>
          <w:p w14:paraId="28419C16">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70F90F49">
            <w:pPr>
              <w:pStyle w:val="8"/>
              <w:spacing w:line="240" w:lineRule="auto"/>
              <w:rPr>
                <w:color w:val="000000" w:themeColor="text1"/>
                <w:sz w:val="18"/>
                <w:szCs w:val="18"/>
                <w14:textFill>
                  <w14:solidFill>
                    <w14:schemeClr w14:val="tx1"/>
                  </w14:solidFill>
                </w14:textFill>
              </w:rPr>
            </w:pPr>
          </w:p>
        </w:tc>
        <w:tc>
          <w:tcPr>
            <w:tcW w:w="1134" w:type="dxa"/>
            <w:vAlign w:val="center"/>
          </w:tcPr>
          <w:p w14:paraId="7EB57689">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10M5004</w:t>
            </w:r>
          </w:p>
        </w:tc>
        <w:tc>
          <w:tcPr>
            <w:tcW w:w="3686" w:type="dxa"/>
            <w:vAlign w:val="center"/>
          </w:tcPr>
          <w:p w14:paraId="7024763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工程伦理</w:t>
            </w:r>
          </w:p>
          <w:p w14:paraId="1E2CFA61">
            <w:pPr>
              <w:pStyle w:val="8"/>
              <w:spacing w:line="240" w:lineRule="auto"/>
              <w:rPr>
                <w:color w:val="000000" w:themeColor="text1"/>
                <w14:textFill>
                  <w14:solidFill>
                    <w14:schemeClr w14:val="tx1"/>
                  </w14:solidFill>
                </w14:textFill>
              </w:rPr>
            </w:pPr>
            <w:r>
              <w:rPr>
                <w:color w:val="000000" w:themeColor="text1"/>
                <w:sz w:val="18"/>
                <w:szCs w:val="18"/>
                <w14:textFill>
                  <w14:solidFill>
                    <w14:schemeClr w14:val="tx1"/>
                  </w14:solidFill>
                </w14:textFill>
              </w:rPr>
              <w:t>Engineering Ethics</w:t>
            </w:r>
          </w:p>
        </w:tc>
        <w:tc>
          <w:tcPr>
            <w:tcW w:w="708" w:type="dxa"/>
            <w:vAlign w:val="center"/>
          </w:tcPr>
          <w:p w14:paraId="456F25AC">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709" w:type="dxa"/>
            <w:vAlign w:val="center"/>
          </w:tcPr>
          <w:p w14:paraId="6A59AF98">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0924D960">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工程类专硕</w:t>
            </w:r>
          </w:p>
        </w:tc>
      </w:tr>
      <w:tr w14:paraId="407109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424" w:type="dxa"/>
            <w:vMerge w:val="continue"/>
            <w:vAlign w:val="center"/>
          </w:tcPr>
          <w:p w14:paraId="60873674">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3E40FCE6">
            <w:pPr>
              <w:pStyle w:val="8"/>
              <w:spacing w:line="240" w:lineRule="auto"/>
              <w:rPr>
                <w:color w:val="000000" w:themeColor="text1"/>
                <w:sz w:val="18"/>
                <w:szCs w:val="18"/>
                <w14:textFill>
                  <w14:solidFill>
                    <w14:schemeClr w14:val="tx1"/>
                  </w14:solidFill>
                </w14:textFill>
              </w:rPr>
            </w:pPr>
          </w:p>
        </w:tc>
        <w:tc>
          <w:tcPr>
            <w:tcW w:w="1134" w:type="dxa"/>
            <w:vAlign w:val="center"/>
          </w:tcPr>
          <w:p w14:paraId="5E32C79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12M5003</w:t>
            </w:r>
          </w:p>
        </w:tc>
        <w:tc>
          <w:tcPr>
            <w:tcW w:w="3686" w:type="dxa"/>
            <w:vAlign w:val="center"/>
          </w:tcPr>
          <w:p w14:paraId="321DE8D0">
            <w:pPr>
              <w:ind w:firstLine="42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中国语言文化</w:t>
            </w:r>
          </w:p>
          <w:p w14:paraId="5D1FC2FF">
            <w:pPr>
              <w:ind w:firstLine="420"/>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Chinese Language and Culture</w:t>
            </w:r>
          </w:p>
        </w:tc>
        <w:tc>
          <w:tcPr>
            <w:tcW w:w="708" w:type="dxa"/>
            <w:vAlign w:val="center"/>
          </w:tcPr>
          <w:p w14:paraId="268893F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709" w:type="dxa"/>
            <w:vAlign w:val="center"/>
          </w:tcPr>
          <w:p w14:paraId="60A24B9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4D39E0C7">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翻译专硕</w:t>
            </w:r>
          </w:p>
        </w:tc>
      </w:tr>
      <w:tr w14:paraId="52EB7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424" w:type="dxa"/>
            <w:vMerge w:val="continue"/>
            <w:vAlign w:val="center"/>
          </w:tcPr>
          <w:p w14:paraId="40947F76">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55E01C91">
            <w:pPr>
              <w:pStyle w:val="8"/>
              <w:spacing w:line="240" w:lineRule="auto"/>
              <w:rPr>
                <w:color w:val="000000" w:themeColor="text1"/>
                <w:sz w:val="18"/>
                <w:szCs w:val="18"/>
                <w14:textFill>
                  <w14:solidFill>
                    <w14:schemeClr w14:val="tx1"/>
                  </w14:solidFill>
                </w14:textFill>
              </w:rPr>
            </w:pPr>
          </w:p>
        </w:tc>
        <w:tc>
          <w:tcPr>
            <w:tcW w:w="1134" w:type="dxa"/>
            <w:vAlign w:val="center"/>
          </w:tcPr>
          <w:p w14:paraId="22F809C2">
            <w:pPr>
              <w:jc w:val="center"/>
              <w:rPr>
                <w:color w:val="000000" w:themeColor="text1"/>
                <w:sz w:val="18"/>
                <w:szCs w:val="18"/>
                <w14:textFill>
                  <w14:solidFill>
                    <w14:schemeClr w14:val="tx1"/>
                  </w14:solidFill>
                </w14:textFill>
              </w:rPr>
            </w:pPr>
          </w:p>
        </w:tc>
        <w:tc>
          <w:tcPr>
            <w:tcW w:w="3686" w:type="dxa"/>
            <w:vAlign w:val="center"/>
          </w:tcPr>
          <w:p w14:paraId="0DEB4DBD">
            <w:pPr>
              <w:jc w:val="center"/>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人工智能通识课</w:t>
            </w:r>
          </w:p>
        </w:tc>
        <w:tc>
          <w:tcPr>
            <w:tcW w:w="708" w:type="dxa"/>
            <w:vAlign w:val="center"/>
          </w:tcPr>
          <w:p w14:paraId="16D609F0">
            <w:pPr>
              <w:jc w:val="center"/>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p>
        </w:tc>
        <w:tc>
          <w:tcPr>
            <w:tcW w:w="709" w:type="dxa"/>
            <w:vAlign w:val="center"/>
          </w:tcPr>
          <w:p w14:paraId="62EA8FD4">
            <w:pPr>
              <w:jc w:val="center"/>
              <w:rPr>
                <w:color w:val="000000" w:themeColor="text1"/>
                <w:sz w:val="18"/>
                <w:szCs w:val="18"/>
                <w14:textFill>
                  <w14:solidFill>
                    <w14:schemeClr w14:val="tx1"/>
                  </w14:solidFill>
                </w14:textFill>
              </w:rPr>
            </w:pPr>
            <w:r>
              <w:rPr>
                <w:b/>
                <w:bCs/>
                <w:color w:val="000000" w:themeColor="text1"/>
                <w:sz w:val="18"/>
                <w:szCs w:val="18"/>
                <w:highlight w:val="yellow"/>
                <w14:textFill>
                  <w14:solidFill>
                    <w14:schemeClr w14:val="tx1"/>
                  </w14:solidFill>
                </w14:textFill>
              </w:rPr>
              <w:t>1</w:t>
            </w:r>
          </w:p>
        </w:tc>
        <w:tc>
          <w:tcPr>
            <w:tcW w:w="851" w:type="dxa"/>
            <w:vAlign w:val="center"/>
          </w:tcPr>
          <w:p w14:paraId="46B43209">
            <w:pPr>
              <w:pStyle w:val="8"/>
              <w:spacing w:line="240" w:lineRule="auto"/>
              <w:rPr>
                <w:color w:val="000000" w:themeColor="text1"/>
                <w:sz w:val="18"/>
                <w:szCs w:val="18"/>
                <w14:textFill>
                  <w14:solidFill>
                    <w14:schemeClr w14:val="tx1"/>
                  </w14:solidFill>
                </w14:textFill>
              </w:rPr>
            </w:pPr>
          </w:p>
        </w:tc>
      </w:tr>
      <w:tr w14:paraId="391209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424" w:type="dxa"/>
            <w:vMerge w:val="continue"/>
            <w:vAlign w:val="center"/>
          </w:tcPr>
          <w:p w14:paraId="16D538E4">
            <w:pPr>
              <w:pStyle w:val="8"/>
              <w:spacing w:line="240" w:lineRule="auto"/>
              <w:rPr>
                <w:color w:val="000000" w:themeColor="text1"/>
                <w:sz w:val="18"/>
                <w:szCs w:val="18"/>
                <w14:textFill>
                  <w14:solidFill>
                    <w14:schemeClr w14:val="tx1"/>
                  </w14:solidFill>
                </w14:textFill>
              </w:rPr>
            </w:pPr>
          </w:p>
        </w:tc>
        <w:tc>
          <w:tcPr>
            <w:tcW w:w="1216" w:type="dxa"/>
            <w:vMerge w:val="restart"/>
            <w:vAlign w:val="center"/>
          </w:tcPr>
          <w:p w14:paraId="339B8FB7">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专业基础</w:t>
            </w:r>
          </w:p>
          <w:p w14:paraId="72AFE635">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≥6学分</w:t>
            </w:r>
          </w:p>
        </w:tc>
        <w:tc>
          <w:tcPr>
            <w:tcW w:w="1134" w:type="dxa"/>
            <w:vAlign w:val="center"/>
          </w:tcPr>
          <w:p w14:paraId="3E4260BC">
            <w:pPr>
              <w:pStyle w:val="8"/>
              <w:spacing w:line="240" w:lineRule="auto"/>
              <w:rPr>
                <w:color w:val="000000" w:themeColor="text1"/>
                <w:sz w:val="18"/>
                <w:szCs w:val="18"/>
                <w14:textFill>
                  <w14:solidFill>
                    <w14:schemeClr w14:val="tx1"/>
                  </w14:solidFill>
                </w14:textFill>
              </w:rPr>
            </w:pPr>
          </w:p>
        </w:tc>
        <w:tc>
          <w:tcPr>
            <w:tcW w:w="3686" w:type="dxa"/>
            <w:vAlign w:val="center"/>
          </w:tcPr>
          <w:p w14:paraId="4E958CA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数学类课程</w:t>
            </w:r>
          </w:p>
        </w:tc>
        <w:tc>
          <w:tcPr>
            <w:tcW w:w="708" w:type="dxa"/>
            <w:vAlign w:val="center"/>
          </w:tcPr>
          <w:p w14:paraId="1AD5E8E8">
            <w:pPr>
              <w:pStyle w:val="8"/>
              <w:spacing w:line="240" w:lineRule="auto"/>
              <w:rPr>
                <w:color w:val="000000" w:themeColor="text1"/>
                <w:sz w:val="18"/>
                <w:szCs w:val="18"/>
                <w14:textFill>
                  <w14:solidFill>
                    <w14:schemeClr w14:val="tx1"/>
                  </w14:solidFill>
                </w14:textFill>
              </w:rPr>
            </w:pPr>
          </w:p>
        </w:tc>
        <w:tc>
          <w:tcPr>
            <w:tcW w:w="709" w:type="dxa"/>
            <w:vAlign w:val="center"/>
          </w:tcPr>
          <w:p w14:paraId="2D7A782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509B21AF">
            <w:pPr>
              <w:pStyle w:val="8"/>
              <w:spacing w:line="240" w:lineRule="auto"/>
              <w:rPr>
                <w:color w:val="000000" w:themeColor="text1"/>
                <w:sz w:val="18"/>
                <w:szCs w:val="18"/>
                <w14:textFill>
                  <w14:solidFill>
                    <w14:schemeClr w14:val="tx1"/>
                  </w14:solidFill>
                </w14:textFill>
              </w:rPr>
            </w:pPr>
          </w:p>
        </w:tc>
      </w:tr>
      <w:tr w14:paraId="40ACB4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424" w:type="dxa"/>
            <w:vMerge w:val="continue"/>
            <w:vAlign w:val="center"/>
          </w:tcPr>
          <w:p w14:paraId="1258030B">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396683AD">
            <w:pPr>
              <w:pStyle w:val="8"/>
              <w:spacing w:line="240" w:lineRule="auto"/>
              <w:rPr>
                <w:color w:val="000000" w:themeColor="text1"/>
                <w:sz w:val="18"/>
                <w:szCs w:val="18"/>
                <w14:textFill>
                  <w14:solidFill>
                    <w14:schemeClr w14:val="tx1"/>
                  </w14:solidFill>
                </w14:textFill>
              </w:rPr>
            </w:pPr>
          </w:p>
        </w:tc>
        <w:tc>
          <w:tcPr>
            <w:tcW w:w="1134" w:type="dxa"/>
            <w:vAlign w:val="center"/>
          </w:tcPr>
          <w:p w14:paraId="48F21840">
            <w:pPr>
              <w:pStyle w:val="8"/>
              <w:spacing w:line="240" w:lineRule="auto"/>
              <w:rPr>
                <w:color w:val="000000" w:themeColor="text1"/>
                <w:sz w:val="18"/>
                <w:szCs w:val="18"/>
                <w14:textFill>
                  <w14:solidFill>
                    <w14:schemeClr w14:val="tx1"/>
                  </w14:solidFill>
                </w14:textFill>
              </w:rPr>
            </w:pPr>
          </w:p>
        </w:tc>
        <w:tc>
          <w:tcPr>
            <w:tcW w:w="3686" w:type="dxa"/>
            <w:vAlign w:val="center"/>
          </w:tcPr>
          <w:p w14:paraId="723C8D3C">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一级学科专业课（请标明核心课程）</w:t>
            </w:r>
          </w:p>
        </w:tc>
        <w:tc>
          <w:tcPr>
            <w:tcW w:w="708" w:type="dxa"/>
            <w:vAlign w:val="center"/>
          </w:tcPr>
          <w:p w14:paraId="20F2E3BB">
            <w:pPr>
              <w:pStyle w:val="8"/>
              <w:spacing w:line="240" w:lineRule="auto"/>
              <w:rPr>
                <w:color w:val="000000" w:themeColor="text1"/>
                <w:sz w:val="18"/>
                <w:szCs w:val="18"/>
                <w14:textFill>
                  <w14:solidFill>
                    <w14:schemeClr w14:val="tx1"/>
                  </w14:solidFill>
                </w14:textFill>
              </w:rPr>
            </w:pPr>
          </w:p>
        </w:tc>
        <w:tc>
          <w:tcPr>
            <w:tcW w:w="709" w:type="dxa"/>
            <w:vAlign w:val="center"/>
          </w:tcPr>
          <w:p w14:paraId="486367C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851" w:type="dxa"/>
            <w:vAlign w:val="center"/>
          </w:tcPr>
          <w:p w14:paraId="39B4E7CF">
            <w:pPr>
              <w:pStyle w:val="8"/>
              <w:spacing w:line="240" w:lineRule="auto"/>
              <w:rPr>
                <w:color w:val="000000" w:themeColor="text1"/>
                <w:sz w:val="18"/>
                <w:szCs w:val="18"/>
                <w14:textFill>
                  <w14:solidFill>
                    <w14:schemeClr w14:val="tx1"/>
                  </w14:solidFill>
                </w14:textFill>
              </w:rPr>
            </w:pPr>
          </w:p>
        </w:tc>
      </w:tr>
      <w:tr w14:paraId="3EB661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424" w:type="dxa"/>
            <w:vMerge w:val="continue"/>
            <w:vAlign w:val="center"/>
          </w:tcPr>
          <w:p w14:paraId="2E6F688B">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36BFC827">
            <w:pPr>
              <w:pStyle w:val="8"/>
              <w:spacing w:line="240" w:lineRule="auto"/>
              <w:rPr>
                <w:color w:val="000000" w:themeColor="text1"/>
                <w:sz w:val="18"/>
                <w:szCs w:val="18"/>
                <w14:textFill>
                  <w14:solidFill>
                    <w14:schemeClr w14:val="tx1"/>
                  </w14:solidFill>
                </w14:textFill>
              </w:rPr>
            </w:pPr>
          </w:p>
        </w:tc>
        <w:tc>
          <w:tcPr>
            <w:tcW w:w="1134" w:type="dxa"/>
            <w:vAlign w:val="center"/>
          </w:tcPr>
          <w:p w14:paraId="766E43E6">
            <w:pPr>
              <w:pStyle w:val="8"/>
              <w:spacing w:line="240" w:lineRule="auto"/>
              <w:rPr>
                <w:color w:val="000000" w:themeColor="text1"/>
                <w:sz w:val="18"/>
                <w:szCs w:val="18"/>
                <w14:textFill>
                  <w14:solidFill>
                    <w14:schemeClr w14:val="tx1"/>
                  </w14:solidFill>
                </w14:textFill>
              </w:rPr>
            </w:pPr>
          </w:p>
        </w:tc>
        <w:tc>
          <w:tcPr>
            <w:tcW w:w="3686" w:type="dxa"/>
            <w:vAlign w:val="center"/>
          </w:tcPr>
          <w:p w14:paraId="7F2FD68C">
            <w:pPr>
              <w:pStyle w:val="8"/>
              <w:spacing w:line="240" w:lineRule="auto"/>
              <w:rPr>
                <w:b/>
                <w:bCs/>
                <w:color w:val="000000" w:themeColor="text1"/>
                <w:sz w:val="18"/>
                <w:szCs w:val="18"/>
                <w:highlight w:val="yellow"/>
                <w14:textFill>
                  <w14:solidFill>
                    <w14:schemeClr w14:val="tx1"/>
                  </w14:solidFill>
                </w14:textFill>
              </w:rPr>
            </w:pPr>
          </w:p>
        </w:tc>
        <w:tc>
          <w:tcPr>
            <w:tcW w:w="708" w:type="dxa"/>
            <w:vAlign w:val="center"/>
          </w:tcPr>
          <w:p w14:paraId="6946ACC5">
            <w:pPr>
              <w:pStyle w:val="8"/>
              <w:spacing w:line="240" w:lineRule="auto"/>
              <w:rPr>
                <w:b/>
                <w:bCs/>
                <w:color w:val="000000" w:themeColor="text1"/>
                <w:sz w:val="18"/>
                <w:szCs w:val="18"/>
                <w:highlight w:val="yellow"/>
                <w14:textFill>
                  <w14:solidFill>
                    <w14:schemeClr w14:val="tx1"/>
                  </w14:solidFill>
                </w14:textFill>
              </w:rPr>
            </w:pPr>
          </w:p>
        </w:tc>
        <w:tc>
          <w:tcPr>
            <w:tcW w:w="709" w:type="dxa"/>
            <w:vAlign w:val="center"/>
          </w:tcPr>
          <w:p w14:paraId="575F01C5">
            <w:pPr>
              <w:pStyle w:val="8"/>
              <w:spacing w:line="240" w:lineRule="auto"/>
              <w:rPr>
                <w:b/>
                <w:bCs/>
                <w:color w:val="000000" w:themeColor="text1"/>
                <w:sz w:val="18"/>
                <w:szCs w:val="18"/>
                <w:highlight w:val="yellow"/>
                <w14:textFill>
                  <w14:solidFill>
                    <w14:schemeClr w14:val="tx1"/>
                  </w14:solidFill>
                </w14:textFill>
              </w:rPr>
            </w:pPr>
          </w:p>
        </w:tc>
        <w:tc>
          <w:tcPr>
            <w:tcW w:w="851" w:type="dxa"/>
            <w:vAlign w:val="center"/>
          </w:tcPr>
          <w:p w14:paraId="72D3B43C">
            <w:pPr>
              <w:pStyle w:val="8"/>
              <w:spacing w:line="240" w:lineRule="auto"/>
              <w:rPr>
                <w:b/>
                <w:bCs/>
                <w:color w:val="000000" w:themeColor="text1"/>
                <w:sz w:val="18"/>
                <w:szCs w:val="18"/>
                <w:highlight w:val="yellow"/>
                <w14:textFill>
                  <w14:solidFill>
                    <w14:schemeClr w14:val="tx1"/>
                  </w14:solidFill>
                </w14:textFill>
              </w:rPr>
            </w:pPr>
          </w:p>
        </w:tc>
      </w:tr>
      <w:tr w14:paraId="58451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424" w:type="dxa"/>
            <w:vMerge w:val="continue"/>
            <w:vAlign w:val="center"/>
          </w:tcPr>
          <w:p w14:paraId="43D20E42">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432B1002">
            <w:pPr>
              <w:pStyle w:val="8"/>
              <w:spacing w:line="240" w:lineRule="auto"/>
              <w:rPr>
                <w:color w:val="000000" w:themeColor="text1"/>
                <w:sz w:val="18"/>
                <w:szCs w:val="18"/>
                <w14:textFill>
                  <w14:solidFill>
                    <w14:schemeClr w14:val="tx1"/>
                  </w14:solidFill>
                </w14:textFill>
              </w:rPr>
            </w:pPr>
          </w:p>
        </w:tc>
        <w:tc>
          <w:tcPr>
            <w:tcW w:w="1134" w:type="dxa"/>
            <w:vAlign w:val="center"/>
          </w:tcPr>
          <w:p w14:paraId="14703D42">
            <w:pPr>
              <w:pStyle w:val="8"/>
              <w:spacing w:line="240" w:lineRule="auto"/>
              <w:rPr>
                <w:color w:val="000000" w:themeColor="text1"/>
                <w:sz w:val="18"/>
                <w:szCs w:val="18"/>
                <w14:textFill>
                  <w14:solidFill>
                    <w14:schemeClr w14:val="tx1"/>
                  </w14:solidFill>
                </w14:textFill>
              </w:rPr>
            </w:pPr>
          </w:p>
        </w:tc>
        <w:tc>
          <w:tcPr>
            <w:tcW w:w="3686" w:type="dxa"/>
            <w:vAlign w:val="center"/>
          </w:tcPr>
          <w:p w14:paraId="358781BB">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AI+专业课程（请标明AI课程）</w:t>
            </w:r>
          </w:p>
        </w:tc>
        <w:tc>
          <w:tcPr>
            <w:tcW w:w="708" w:type="dxa"/>
            <w:vAlign w:val="center"/>
          </w:tcPr>
          <w:p w14:paraId="0FA0E3B1">
            <w:pPr>
              <w:pStyle w:val="8"/>
              <w:spacing w:line="240" w:lineRule="auto"/>
              <w:rPr>
                <w:b/>
                <w:bCs/>
                <w:color w:val="000000" w:themeColor="text1"/>
                <w:sz w:val="18"/>
                <w:szCs w:val="18"/>
                <w:highlight w:val="yellow"/>
                <w14:textFill>
                  <w14:solidFill>
                    <w14:schemeClr w14:val="tx1"/>
                  </w14:solidFill>
                </w14:textFill>
              </w:rPr>
            </w:pPr>
          </w:p>
        </w:tc>
        <w:tc>
          <w:tcPr>
            <w:tcW w:w="709" w:type="dxa"/>
            <w:vAlign w:val="center"/>
          </w:tcPr>
          <w:p w14:paraId="034C8B67">
            <w:pPr>
              <w:pStyle w:val="8"/>
              <w:spacing w:line="240" w:lineRule="auto"/>
              <w:rPr>
                <w:b/>
                <w:bCs/>
                <w:color w:val="000000" w:themeColor="text1"/>
                <w:sz w:val="18"/>
                <w:szCs w:val="18"/>
                <w:highlight w:val="yellow"/>
                <w14:textFill>
                  <w14:solidFill>
                    <w14:schemeClr w14:val="tx1"/>
                  </w14:solidFill>
                </w14:textFill>
              </w:rPr>
            </w:pPr>
            <w:r>
              <w:rPr>
                <w:b/>
                <w:bCs/>
                <w:color w:val="000000" w:themeColor="text1"/>
                <w:sz w:val="18"/>
                <w:szCs w:val="18"/>
                <w:highlight w:val="yellow"/>
                <w14:textFill>
                  <w14:solidFill>
                    <w14:schemeClr w14:val="tx1"/>
                  </w14:solidFill>
                </w14:textFill>
              </w:rPr>
              <w:t>1</w:t>
            </w:r>
          </w:p>
        </w:tc>
        <w:tc>
          <w:tcPr>
            <w:tcW w:w="851" w:type="dxa"/>
            <w:vAlign w:val="center"/>
          </w:tcPr>
          <w:p w14:paraId="10A2393A">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7A3B64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424" w:type="dxa"/>
            <w:vMerge w:val="restart"/>
            <w:vAlign w:val="center"/>
          </w:tcPr>
          <w:p w14:paraId="19721996">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选修课程</w:t>
            </w:r>
          </w:p>
        </w:tc>
        <w:tc>
          <w:tcPr>
            <w:tcW w:w="1216" w:type="dxa"/>
            <w:vMerge w:val="restart"/>
            <w:vAlign w:val="center"/>
          </w:tcPr>
          <w:p w14:paraId="0EE5D90D">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专业技术</w:t>
            </w:r>
          </w:p>
          <w:p w14:paraId="4E8F970A">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≥**学分</w:t>
            </w:r>
          </w:p>
        </w:tc>
        <w:tc>
          <w:tcPr>
            <w:tcW w:w="1134" w:type="dxa"/>
            <w:tcBorders>
              <w:bottom w:val="single" w:color="auto" w:sz="4" w:space="0"/>
            </w:tcBorders>
            <w:vAlign w:val="center"/>
          </w:tcPr>
          <w:p w14:paraId="3BF9747F">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5774317E">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见《研究生学科交叉课程目录》</w:t>
            </w:r>
          </w:p>
        </w:tc>
        <w:tc>
          <w:tcPr>
            <w:tcW w:w="708" w:type="dxa"/>
            <w:tcBorders>
              <w:bottom w:val="single" w:color="auto" w:sz="4" w:space="0"/>
            </w:tcBorders>
            <w:vAlign w:val="center"/>
          </w:tcPr>
          <w:p w14:paraId="1EF9388F">
            <w:pPr>
              <w:pStyle w:val="8"/>
              <w:spacing w:line="240" w:lineRule="auto"/>
              <w:rPr>
                <w:b/>
                <w:bCs/>
                <w:color w:val="000000" w:themeColor="text1"/>
                <w:sz w:val="18"/>
                <w:szCs w:val="18"/>
                <w:highlight w:val="yellow"/>
                <w14:textFill>
                  <w14:solidFill>
                    <w14:schemeClr w14:val="tx1"/>
                  </w14:solidFill>
                </w14:textFill>
              </w:rPr>
            </w:pPr>
          </w:p>
        </w:tc>
        <w:tc>
          <w:tcPr>
            <w:tcW w:w="709" w:type="dxa"/>
            <w:tcBorders>
              <w:bottom w:val="single" w:color="auto" w:sz="4" w:space="0"/>
            </w:tcBorders>
            <w:vAlign w:val="center"/>
          </w:tcPr>
          <w:p w14:paraId="6FB16C57">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p>
        </w:tc>
        <w:tc>
          <w:tcPr>
            <w:tcW w:w="851" w:type="dxa"/>
            <w:tcBorders>
              <w:bottom w:val="single" w:color="auto" w:sz="4" w:space="0"/>
            </w:tcBorders>
            <w:vAlign w:val="center"/>
          </w:tcPr>
          <w:p w14:paraId="22484D06">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1EE154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424" w:type="dxa"/>
            <w:vMerge w:val="continue"/>
          </w:tcPr>
          <w:p w14:paraId="0E3BEF90">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000DE1FC">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bottom w:val="single" w:color="auto" w:sz="4" w:space="0"/>
            </w:tcBorders>
            <w:vAlign w:val="center"/>
          </w:tcPr>
          <w:p w14:paraId="2FA32710">
            <w:pPr>
              <w:pStyle w:val="8"/>
              <w:spacing w:line="240" w:lineRule="auto"/>
              <w:rPr>
                <w:color w:val="000000" w:themeColor="text1"/>
                <w:sz w:val="18"/>
                <w:szCs w:val="18"/>
                <w14:textFill>
                  <w14:solidFill>
                    <w14:schemeClr w14:val="tx1"/>
                  </w14:solidFill>
                </w14:textFill>
              </w:rPr>
            </w:pPr>
          </w:p>
        </w:tc>
        <w:tc>
          <w:tcPr>
            <w:tcW w:w="3686" w:type="dxa"/>
            <w:tcBorders>
              <w:top w:val="single" w:color="auto" w:sz="4" w:space="0"/>
              <w:bottom w:val="single" w:color="auto" w:sz="4" w:space="0"/>
            </w:tcBorders>
            <w:vAlign w:val="center"/>
          </w:tcPr>
          <w:p w14:paraId="211E523A">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产教融合课程（请标明产教融合课程）</w:t>
            </w:r>
          </w:p>
        </w:tc>
        <w:tc>
          <w:tcPr>
            <w:tcW w:w="708" w:type="dxa"/>
            <w:tcBorders>
              <w:top w:val="single" w:color="auto" w:sz="4" w:space="0"/>
              <w:bottom w:val="single" w:color="auto" w:sz="4" w:space="0"/>
            </w:tcBorders>
            <w:vAlign w:val="center"/>
          </w:tcPr>
          <w:p w14:paraId="23455224">
            <w:pPr>
              <w:pStyle w:val="8"/>
              <w:spacing w:line="240" w:lineRule="auto"/>
              <w:rPr>
                <w:b/>
                <w:bCs/>
                <w:color w:val="000000" w:themeColor="text1"/>
                <w:sz w:val="18"/>
                <w:szCs w:val="18"/>
                <w:highlight w:val="yellow"/>
                <w14:textFill>
                  <w14:solidFill>
                    <w14:schemeClr w14:val="tx1"/>
                  </w14:solidFill>
                </w14:textFill>
              </w:rPr>
            </w:pPr>
          </w:p>
        </w:tc>
        <w:tc>
          <w:tcPr>
            <w:tcW w:w="709" w:type="dxa"/>
            <w:tcBorders>
              <w:top w:val="single" w:color="auto" w:sz="4" w:space="0"/>
              <w:bottom w:val="single" w:color="auto" w:sz="4" w:space="0"/>
            </w:tcBorders>
            <w:vAlign w:val="center"/>
          </w:tcPr>
          <w:p w14:paraId="356CE51A">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p>
        </w:tc>
        <w:tc>
          <w:tcPr>
            <w:tcW w:w="851" w:type="dxa"/>
            <w:tcBorders>
              <w:top w:val="single" w:color="auto" w:sz="4" w:space="0"/>
              <w:bottom w:val="single" w:color="auto" w:sz="4" w:space="0"/>
            </w:tcBorders>
            <w:vAlign w:val="center"/>
          </w:tcPr>
          <w:p w14:paraId="2D9DEEDD">
            <w:pPr>
              <w:pStyle w:val="8"/>
              <w:spacing w:line="240" w:lineRule="auto"/>
              <w:rPr>
                <w:b/>
                <w:bCs/>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4883D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424" w:type="dxa"/>
            <w:vMerge w:val="continue"/>
          </w:tcPr>
          <w:p w14:paraId="1A80018A">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3BC7D922">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tcBorders>
            <w:vAlign w:val="center"/>
          </w:tcPr>
          <w:p w14:paraId="7CE1CA8F">
            <w:pPr>
              <w:pStyle w:val="8"/>
              <w:spacing w:line="240" w:lineRule="auto"/>
              <w:rPr>
                <w:color w:val="000000" w:themeColor="text1"/>
                <w:sz w:val="18"/>
                <w:szCs w:val="18"/>
                <w14:textFill>
                  <w14:solidFill>
                    <w14:schemeClr w14:val="tx1"/>
                  </w14:solidFill>
                </w14:textFill>
              </w:rPr>
            </w:pPr>
          </w:p>
        </w:tc>
        <w:tc>
          <w:tcPr>
            <w:tcW w:w="3686" w:type="dxa"/>
            <w:tcBorders>
              <w:top w:val="single" w:color="auto" w:sz="4" w:space="0"/>
            </w:tcBorders>
            <w:vAlign w:val="center"/>
          </w:tcPr>
          <w:p w14:paraId="7D24CEA6">
            <w:pPr>
              <w:pStyle w:val="8"/>
              <w:spacing w:line="240" w:lineRule="auto"/>
              <w:rPr>
                <w:b/>
                <w:bCs/>
                <w:color w:val="000000" w:themeColor="text1"/>
                <w:sz w:val="18"/>
                <w:szCs w:val="18"/>
                <w:highlight w:val="yellow"/>
                <w14:textFill>
                  <w14:solidFill>
                    <w14:schemeClr w14:val="tx1"/>
                  </w14:solidFill>
                </w14:textFill>
              </w:rPr>
            </w:pPr>
          </w:p>
        </w:tc>
        <w:tc>
          <w:tcPr>
            <w:tcW w:w="708" w:type="dxa"/>
            <w:tcBorders>
              <w:top w:val="single" w:color="auto" w:sz="4" w:space="0"/>
            </w:tcBorders>
            <w:vAlign w:val="center"/>
          </w:tcPr>
          <w:p w14:paraId="0818BC81">
            <w:pPr>
              <w:pStyle w:val="8"/>
              <w:spacing w:line="240" w:lineRule="auto"/>
              <w:rPr>
                <w:b/>
                <w:bCs/>
                <w:color w:val="000000" w:themeColor="text1"/>
                <w:sz w:val="18"/>
                <w:szCs w:val="18"/>
                <w:highlight w:val="yellow"/>
                <w14:textFill>
                  <w14:solidFill>
                    <w14:schemeClr w14:val="tx1"/>
                  </w14:solidFill>
                </w14:textFill>
              </w:rPr>
            </w:pPr>
          </w:p>
        </w:tc>
        <w:tc>
          <w:tcPr>
            <w:tcW w:w="709" w:type="dxa"/>
            <w:tcBorders>
              <w:top w:val="single" w:color="auto" w:sz="4" w:space="0"/>
            </w:tcBorders>
            <w:vAlign w:val="center"/>
          </w:tcPr>
          <w:p w14:paraId="380460A1">
            <w:pPr>
              <w:pStyle w:val="8"/>
              <w:spacing w:line="240" w:lineRule="auto"/>
              <w:rPr>
                <w:b/>
                <w:bCs/>
                <w:color w:val="000000" w:themeColor="text1"/>
                <w:sz w:val="18"/>
                <w:szCs w:val="18"/>
                <w:highlight w:val="yellow"/>
                <w14:textFill>
                  <w14:solidFill>
                    <w14:schemeClr w14:val="tx1"/>
                  </w14:solidFill>
                </w14:textFill>
              </w:rPr>
            </w:pPr>
          </w:p>
        </w:tc>
        <w:tc>
          <w:tcPr>
            <w:tcW w:w="851" w:type="dxa"/>
            <w:tcBorders>
              <w:top w:val="single" w:color="auto" w:sz="4" w:space="0"/>
            </w:tcBorders>
            <w:vAlign w:val="center"/>
          </w:tcPr>
          <w:p w14:paraId="1AFBCA12">
            <w:pPr>
              <w:pStyle w:val="8"/>
              <w:spacing w:line="240" w:lineRule="auto"/>
              <w:rPr>
                <w:b/>
                <w:bCs/>
                <w:color w:val="000000" w:themeColor="text1"/>
                <w:sz w:val="18"/>
                <w:szCs w:val="18"/>
                <w:highlight w:val="yellow"/>
                <w14:textFill>
                  <w14:solidFill>
                    <w14:schemeClr w14:val="tx1"/>
                  </w14:solidFill>
                </w14:textFill>
              </w:rPr>
            </w:pPr>
          </w:p>
        </w:tc>
      </w:tr>
      <w:tr w14:paraId="12F842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5" w:hRule="atLeast"/>
          <w:jc w:val="center"/>
        </w:trPr>
        <w:tc>
          <w:tcPr>
            <w:tcW w:w="424" w:type="dxa"/>
            <w:vMerge w:val="continue"/>
          </w:tcPr>
          <w:p w14:paraId="49B3542D">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4B1B00B6">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tcBorders>
            <w:vAlign w:val="center"/>
          </w:tcPr>
          <w:p w14:paraId="65F726B3">
            <w:pPr>
              <w:pStyle w:val="8"/>
              <w:spacing w:line="240" w:lineRule="auto"/>
              <w:rPr>
                <w:color w:val="000000" w:themeColor="text1"/>
                <w:sz w:val="18"/>
                <w:szCs w:val="18"/>
                <w14:textFill>
                  <w14:solidFill>
                    <w14:schemeClr w14:val="tx1"/>
                  </w14:solidFill>
                </w14:textFill>
              </w:rPr>
            </w:pPr>
          </w:p>
        </w:tc>
        <w:tc>
          <w:tcPr>
            <w:tcW w:w="3686" w:type="dxa"/>
            <w:tcBorders>
              <w:top w:val="single" w:color="auto" w:sz="4" w:space="0"/>
            </w:tcBorders>
            <w:vAlign w:val="center"/>
          </w:tcPr>
          <w:p w14:paraId="5594970A">
            <w:pPr>
              <w:pStyle w:val="8"/>
              <w:spacing w:line="240" w:lineRule="auto"/>
              <w:rPr>
                <w:b/>
                <w:bCs/>
                <w:color w:val="000000" w:themeColor="text1"/>
                <w:sz w:val="18"/>
                <w:szCs w:val="18"/>
                <w:highlight w:val="yellow"/>
                <w14:textFill>
                  <w14:solidFill>
                    <w14:schemeClr w14:val="tx1"/>
                  </w14:solidFill>
                </w14:textFill>
              </w:rPr>
            </w:pPr>
          </w:p>
        </w:tc>
        <w:tc>
          <w:tcPr>
            <w:tcW w:w="708" w:type="dxa"/>
            <w:tcBorders>
              <w:top w:val="single" w:color="auto" w:sz="4" w:space="0"/>
            </w:tcBorders>
            <w:vAlign w:val="center"/>
          </w:tcPr>
          <w:p w14:paraId="407337B2">
            <w:pPr>
              <w:pStyle w:val="8"/>
              <w:spacing w:line="240" w:lineRule="auto"/>
              <w:rPr>
                <w:b/>
                <w:bCs/>
                <w:color w:val="000000" w:themeColor="text1"/>
                <w:sz w:val="18"/>
                <w:szCs w:val="18"/>
                <w:highlight w:val="yellow"/>
                <w14:textFill>
                  <w14:solidFill>
                    <w14:schemeClr w14:val="tx1"/>
                  </w14:solidFill>
                </w14:textFill>
              </w:rPr>
            </w:pPr>
          </w:p>
        </w:tc>
        <w:tc>
          <w:tcPr>
            <w:tcW w:w="709" w:type="dxa"/>
            <w:tcBorders>
              <w:top w:val="single" w:color="auto" w:sz="4" w:space="0"/>
            </w:tcBorders>
            <w:vAlign w:val="center"/>
          </w:tcPr>
          <w:p w14:paraId="1F2C7212">
            <w:pPr>
              <w:pStyle w:val="8"/>
              <w:spacing w:line="240" w:lineRule="auto"/>
              <w:rPr>
                <w:b/>
                <w:bCs/>
                <w:color w:val="000000" w:themeColor="text1"/>
                <w:sz w:val="18"/>
                <w:szCs w:val="18"/>
                <w:highlight w:val="yellow"/>
                <w14:textFill>
                  <w14:solidFill>
                    <w14:schemeClr w14:val="tx1"/>
                  </w14:solidFill>
                </w14:textFill>
              </w:rPr>
            </w:pPr>
          </w:p>
        </w:tc>
        <w:tc>
          <w:tcPr>
            <w:tcW w:w="851" w:type="dxa"/>
            <w:tcBorders>
              <w:top w:val="single" w:color="auto" w:sz="4" w:space="0"/>
            </w:tcBorders>
            <w:vAlign w:val="center"/>
          </w:tcPr>
          <w:p w14:paraId="0720DE2E">
            <w:pPr>
              <w:pStyle w:val="8"/>
              <w:spacing w:line="240" w:lineRule="auto"/>
              <w:rPr>
                <w:b/>
                <w:bCs/>
                <w:color w:val="000000" w:themeColor="text1"/>
                <w:sz w:val="18"/>
                <w:szCs w:val="18"/>
                <w:highlight w:val="yellow"/>
                <w14:textFill>
                  <w14:solidFill>
                    <w14:schemeClr w14:val="tx1"/>
                  </w14:solidFill>
                </w14:textFill>
              </w:rPr>
            </w:pPr>
          </w:p>
        </w:tc>
      </w:tr>
      <w:tr w14:paraId="3A647D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24" w:type="dxa"/>
            <w:vMerge w:val="continue"/>
          </w:tcPr>
          <w:p w14:paraId="49E0A01B">
            <w:pPr>
              <w:pStyle w:val="8"/>
              <w:spacing w:line="240" w:lineRule="auto"/>
              <w:rPr>
                <w:color w:val="000000" w:themeColor="text1"/>
                <w:sz w:val="18"/>
                <w:szCs w:val="18"/>
                <w14:textFill>
                  <w14:solidFill>
                    <w14:schemeClr w14:val="tx1"/>
                  </w14:solidFill>
                </w14:textFill>
              </w:rPr>
            </w:pPr>
          </w:p>
        </w:tc>
        <w:tc>
          <w:tcPr>
            <w:tcW w:w="1216" w:type="dxa"/>
            <w:vMerge w:val="restart"/>
            <w:vAlign w:val="center"/>
          </w:tcPr>
          <w:p w14:paraId="6DE845B1">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专业特色</w:t>
            </w:r>
          </w:p>
          <w:p w14:paraId="257279E4">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r>
              <w:rPr>
                <w:color w:val="000000" w:themeColor="text1"/>
                <w:sz w:val="18"/>
                <w:szCs w:val="18"/>
                <w:highlight w:val="yellow"/>
                <w14:textFill>
                  <w14:solidFill>
                    <w14:schemeClr w14:val="tx1"/>
                  </w14:solidFill>
                </w14:textFill>
              </w:rPr>
              <w:t>4学分</w:t>
            </w:r>
          </w:p>
        </w:tc>
        <w:tc>
          <w:tcPr>
            <w:tcW w:w="1134" w:type="dxa"/>
            <w:tcBorders>
              <w:bottom w:val="single" w:color="auto" w:sz="4" w:space="0"/>
            </w:tcBorders>
            <w:vAlign w:val="center"/>
          </w:tcPr>
          <w:p w14:paraId="2B668A31">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485919D7">
            <w:pPr>
              <w:pStyle w:val="8"/>
              <w:spacing w:line="240" w:lineRule="auto"/>
              <w:rPr>
                <w:b/>
                <w:bCs/>
                <w:color w:val="000000" w:themeColor="text1"/>
                <w:sz w:val="18"/>
                <w:szCs w:val="18"/>
                <w:highlight w:val="yellow"/>
                <w14:textFill>
                  <w14:solidFill>
                    <w14:schemeClr w14:val="tx1"/>
                  </w14:solidFill>
                </w14:textFill>
              </w:rPr>
            </w:pP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技术前沿</w:t>
            </w:r>
          </w:p>
        </w:tc>
        <w:tc>
          <w:tcPr>
            <w:tcW w:w="708" w:type="dxa"/>
            <w:tcBorders>
              <w:bottom w:val="single" w:color="auto" w:sz="4" w:space="0"/>
            </w:tcBorders>
            <w:vAlign w:val="center"/>
          </w:tcPr>
          <w:p w14:paraId="10FB30EE">
            <w:pPr>
              <w:pStyle w:val="8"/>
              <w:spacing w:line="240" w:lineRule="auto"/>
              <w:rPr>
                <w:b/>
                <w:bCs/>
                <w:color w:val="000000" w:themeColor="text1"/>
                <w:sz w:val="18"/>
                <w:szCs w:val="18"/>
                <w:highlight w:val="yellow"/>
                <w14:textFill>
                  <w14:solidFill>
                    <w14:schemeClr w14:val="tx1"/>
                  </w14:solidFill>
                </w14:textFill>
              </w:rPr>
            </w:pPr>
            <w:r>
              <w:rPr>
                <w:color w:val="000000" w:themeColor="text1"/>
                <w:sz w:val="18"/>
                <w:szCs w:val="18"/>
                <w14:textFill>
                  <w14:solidFill>
                    <w14:schemeClr w14:val="tx1"/>
                  </w14:solidFill>
                </w14:textFill>
              </w:rPr>
              <w:t>2</w:t>
            </w:r>
          </w:p>
        </w:tc>
        <w:tc>
          <w:tcPr>
            <w:tcW w:w="709" w:type="dxa"/>
            <w:tcBorders>
              <w:bottom w:val="single" w:color="auto" w:sz="4" w:space="0"/>
            </w:tcBorders>
            <w:vAlign w:val="center"/>
          </w:tcPr>
          <w:p w14:paraId="5DD24168">
            <w:pPr>
              <w:pStyle w:val="8"/>
              <w:spacing w:line="240" w:lineRule="auto"/>
              <w:rPr>
                <w:b/>
                <w:bCs/>
                <w:color w:val="000000" w:themeColor="text1"/>
                <w:sz w:val="18"/>
                <w:szCs w:val="18"/>
                <w:highlight w:val="yellow"/>
                <w14:textFill>
                  <w14:solidFill>
                    <w14:schemeClr w14:val="tx1"/>
                  </w14:solidFill>
                </w14:textFill>
              </w:rPr>
            </w:pPr>
          </w:p>
        </w:tc>
        <w:tc>
          <w:tcPr>
            <w:tcW w:w="851" w:type="dxa"/>
            <w:tcBorders>
              <w:bottom w:val="single" w:color="auto" w:sz="4" w:space="0"/>
            </w:tcBorders>
            <w:vAlign w:val="center"/>
          </w:tcPr>
          <w:p w14:paraId="6DF2A195">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6A6B70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424" w:type="dxa"/>
            <w:vMerge w:val="continue"/>
          </w:tcPr>
          <w:p w14:paraId="70137EC4">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36F32482">
            <w:pPr>
              <w:pStyle w:val="8"/>
              <w:spacing w:line="240" w:lineRule="auto"/>
              <w:rPr>
                <w:color w:val="000000" w:themeColor="text1"/>
                <w:sz w:val="18"/>
                <w:szCs w:val="18"/>
                <w14:textFill>
                  <w14:solidFill>
                    <w14:schemeClr w14:val="tx1"/>
                  </w14:solidFill>
                </w14:textFill>
              </w:rPr>
            </w:pPr>
          </w:p>
        </w:tc>
        <w:tc>
          <w:tcPr>
            <w:tcW w:w="1134" w:type="dxa"/>
            <w:tcBorders>
              <w:top w:val="single" w:color="auto" w:sz="4" w:space="0"/>
            </w:tcBorders>
            <w:vAlign w:val="center"/>
          </w:tcPr>
          <w:p w14:paraId="28CC5A15">
            <w:pPr>
              <w:pStyle w:val="8"/>
              <w:spacing w:line="240" w:lineRule="auto"/>
              <w:rPr>
                <w:color w:val="000000" w:themeColor="text1"/>
                <w:sz w:val="18"/>
                <w:szCs w:val="18"/>
                <w14:textFill>
                  <w14:solidFill>
                    <w14:schemeClr w14:val="tx1"/>
                  </w14:solidFill>
                </w14:textFill>
              </w:rPr>
            </w:pPr>
          </w:p>
        </w:tc>
        <w:tc>
          <w:tcPr>
            <w:tcW w:w="3686" w:type="dxa"/>
            <w:tcBorders>
              <w:top w:val="single" w:color="auto" w:sz="4" w:space="0"/>
            </w:tcBorders>
            <w:vAlign w:val="center"/>
          </w:tcPr>
          <w:p w14:paraId="42A89CB7">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技术应用实践</w:t>
            </w:r>
          </w:p>
        </w:tc>
        <w:tc>
          <w:tcPr>
            <w:tcW w:w="708" w:type="dxa"/>
            <w:tcBorders>
              <w:top w:val="single" w:color="auto" w:sz="4" w:space="0"/>
            </w:tcBorders>
            <w:vAlign w:val="center"/>
          </w:tcPr>
          <w:p w14:paraId="5990DE16">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709" w:type="dxa"/>
            <w:tcBorders>
              <w:top w:val="single" w:color="auto" w:sz="4" w:space="0"/>
            </w:tcBorders>
            <w:vAlign w:val="center"/>
          </w:tcPr>
          <w:p w14:paraId="25A4E861">
            <w:pPr>
              <w:pStyle w:val="8"/>
              <w:spacing w:line="240" w:lineRule="auto"/>
              <w:rPr>
                <w:color w:val="000000" w:themeColor="text1"/>
                <w:sz w:val="18"/>
                <w:szCs w:val="18"/>
                <w14:textFill>
                  <w14:solidFill>
                    <w14:schemeClr w14:val="tx1"/>
                  </w14:solidFill>
                </w14:textFill>
              </w:rPr>
            </w:pPr>
          </w:p>
        </w:tc>
        <w:tc>
          <w:tcPr>
            <w:tcW w:w="851" w:type="dxa"/>
            <w:tcBorders>
              <w:top w:val="single" w:color="auto" w:sz="4" w:space="0"/>
            </w:tcBorders>
            <w:vAlign w:val="center"/>
          </w:tcPr>
          <w:p w14:paraId="4273AAC7">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55F918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424" w:type="dxa"/>
            <w:vMerge w:val="continue"/>
          </w:tcPr>
          <w:p w14:paraId="0B4110F9">
            <w:pPr>
              <w:pStyle w:val="8"/>
              <w:spacing w:line="240" w:lineRule="auto"/>
              <w:rPr>
                <w:color w:val="000000" w:themeColor="text1"/>
                <w:sz w:val="18"/>
                <w:szCs w:val="18"/>
                <w14:textFill>
                  <w14:solidFill>
                    <w14:schemeClr w14:val="tx1"/>
                  </w14:solidFill>
                </w14:textFill>
              </w:rPr>
            </w:pPr>
          </w:p>
        </w:tc>
        <w:tc>
          <w:tcPr>
            <w:tcW w:w="1216" w:type="dxa"/>
            <w:vMerge w:val="restart"/>
            <w:vAlign w:val="center"/>
          </w:tcPr>
          <w:p w14:paraId="5A34D61B">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公共选修</w:t>
            </w:r>
            <w:r>
              <w:rPr>
                <w:rFonts w:hint="eastAsia" w:ascii="宋体" w:hAnsi="宋体"/>
                <w:color w:val="000000" w:themeColor="text1"/>
                <w:sz w:val="18"/>
                <w:szCs w:val="18"/>
                <w:highlight w:val="yellow"/>
                <w14:textFill>
                  <w14:solidFill>
                    <w14:schemeClr w14:val="tx1"/>
                  </w14:solidFill>
                </w14:textFill>
              </w:rPr>
              <w:t>≥</w:t>
            </w:r>
            <w:r>
              <w:rPr>
                <w:color w:val="000000" w:themeColor="text1"/>
                <w:sz w:val="18"/>
                <w:szCs w:val="18"/>
                <w:highlight w:val="yellow"/>
                <w14:textFill>
                  <w14:solidFill>
                    <w14:schemeClr w14:val="tx1"/>
                  </w14:solidFill>
                </w14:textFill>
              </w:rPr>
              <w:t>2</w:t>
            </w:r>
            <w:r>
              <w:rPr>
                <w:rFonts w:hint="eastAsia"/>
                <w:color w:val="000000" w:themeColor="text1"/>
                <w:sz w:val="18"/>
                <w:szCs w:val="18"/>
                <w:highlight w:val="yellow"/>
                <w14:textFill>
                  <w14:solidFill>
                    <w14:schemeClr w14:val="tx1"/>
                  </w14:solidFill>
                </w14:textFill>
              </w:rPr>
              <w:t>学分</w:t>
            </w:r>
          </w:p>
        </w:tc>
        <w:tc>
          <w:tcPr>
            <w:tcW w:w="1134" w:type="dxa"/>
            <w:tcBorders>
              <w:bottom w:val="single" w:color="auto" w:sz="4" w:space="0"/>
            </w:tcBorders>
            <w:vAlign w:val="center"/>
          </w:tcPr>
          <w:p w14:paraId="3806A5BF">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7211655A">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创新创业实践</w:t>
            </w:r>
          </w:p>
        </w:tc>
        <w:tc>
          <w:tcPr>
            <w:tcW w:w="708" w:type="dxa"/>
            <w:tcBorders>
              <w:bottom w:val="single" w:color="auto" w:sz="4" w:space="0"/>
            </w:tcBorders>
            <w:vAlign w:val="center"/>
          </w:tcPr>
          <w:p w14:paraId="206A2D27">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p>
        </w:tc>
        <w:tc>
          <w:tcPr>
            <w:tcW w:w="709" w:type="dxa"/>
            <w:tcBorders>
              <w:bottom w:val="single" w:color="auto" w:sz="4" w:space="0"/>
            </w:tcBorders>
            <w:vAlign w:val="center"/>
          </w:tcPr>
          <w:p w14:paraId="2452E399">
            <w:pPr>
              <w:pStyle w:val="8"/>
              <w:spacing w:line="240" w:lineRule="auto"/>
              <w:rPr>
                <w:color w:val="000000" w:themeColor="text1"/>
                <w:sz w:val="18"/>
                <w:szCs w:val="18"/>
                <w:highlight w:val="yellow"/>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1</w:t>
            </w:r>
            <w:r>
              <w:rPr>
                <w:b/>
                <w:bCs/>
                <w:color w:val="000000" w:themeColor="text1"/>
                <w:sz w:val="18"/>
                <w:szCs w:val="18"/>
                <w:highlight w:val="yellow"/>
                <w14:textFill>
                  <w14:solidFill>
                    <w14:schemeClr w14:val="tx1"/>
                  </w14:solidFill>
                </w14:textFill>
              </w:rPr>
              <w:t>-2</w:t>
            </w:r>
          </w:p>
        </w:tc>
        <w:tc>
          <w:tcPr>
            <w:tcW w:w="851" w:type="dxa"/>
            <w:tcBorders>
              <w:bottom w:val="single" w:color="auto" w:sz="4" w:space="0"/>
            </w:tcBorders>
            <w:vAlign w:val="center"/>
          </w:tcPr>
          <w:p w14:paraId="1AF2216D">
            <w:pPr>
              <w:pStyle w:val="8"/>
              <w:spacing w:line="240" w:lineRule="auto"/>
              <w:rPr>
                <w:color w:val="000000" w:themeColor="text1"/>
                <w:sz w:val="18"/>
                <w:szCs w:val="18"/>
                <w14:textFill>
                  <w14:solidFill>
                    <w14:schemeClr w14:val="tx1"/>
                  </w14:solidFill>
                </w14:textFill>
              </w:rPr>
            </w:pPr>
            <w:r>
              <w:rPr>
                <w:rFonts w:hint="eastAsia"/>
                <w:b/>
                <w:bCs/>
                <w:color w:val="000000" w:themeColor="text1"/>
                <w:sz w:val="18"/>
                <w:szCs w:val="18"/>
                <w:highlight w:val="yellow"/>
                <w14:textFill>
                  <w14:solidFill>
                    <w14:schemeClr w14:val="tx1"/>
                  </w14:solidFill>
                </w14:textFill>
              </w:rPr>
              <w:t>必选</w:t>
            </w:r>
          </w:p>
        </w:tc>
      </w:tr>
      <w:tr w14:paraId="1548E6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424" w:type="dxa"/>
            <w:vMerge w:val="continue"/>
          </w:tcPr>
          <w:p w14:paraId="52953EFE">
            <w:pPr>
              <w:pStyle w:val="8"/>
              <w:spacing w:line="240" w:lineRule="auto"/>
              <w:rPr>
                <w:color w:val="000000" w:themeColor="text1"/>
                <w:sz w:val="18"/>
                <w:szCs w:val="18"/>
                <w14:textFill>
                  <w14:solidFill>
                    <w14:schemeClr w14:val="tx1"/>
                  </w14:solidFill>
                </w14:textFill>
              </w:rPr>
            </w:pPr>
          </w:p>
        </w:tc>
        <w:tc>
          <w:tcPr>
            <w:tcW w:w="1216" w:type="dxa"/>
            <w:vMerge w:val="continue"/>
            <w:vAlign w:val="center"/>
          </w:tcPr>
          <w:p w14:paraId="4EC5F730">
            <w:pPr>
              <w:pStyle w:val="8"/>
              <w:spacing w:line="240" w:lineRule="auto"/>
              <w:rPr>
                <w:color w:val="000000" w:themeColor="text1"/>
                <w:sz w:val="18"/>
                <w:szCs w:val="18"/>
                <w14:textFill>
                  <w14:solidFill>
                    <w14:schemeClr w14:val="tx1"/>
                  </w14:solidFill>
                </w14:textFill>
              </w:rPr>
            </w:pPr>
          </w:p>
        </w:tc>
        <w:tc>
          <w:tcPr>
            <w:tcW w:w="1134" w:type="dxa"/>
            <w:tcBorders>
              <w:bottom w:val="single" w:color="auto" w:sz="4" w:space="0"/>
            </w:tcBorders>
            <w:vAlign w:val="center"/>
          </w:tcPr>
          <w:p w14:paraId="21AF405F">
            <w:pPr>
              <w:pStyle w:val="8"/>
              <w:spacing w:line="240" w:lineRule="auto"/>
              <w:rPr>
                <w:color w:val="000000" w:themeColor="text1"/>
                <w:sz w:val="18"/>
                <w:szCs w:val="18"/>
                <w14:textFill>
                  <w14:solidFill>
                    <w14:schemeClr w14:val="tx1"/>
                  </w14:solidFill>
                </w14:textFill>
              </w:rPr>
            </w:pPr>
          </w:p>
        </w:tc>
        <w:tc>
          <w:tcPr>
            <w:tcW w:w="3686" w:type="dxa"/>
            <w:tcBorders>
              <w:bottom w:val="single" w:color="auto" w:sz="4" w:space="0"/>
            </w:tcBorders>
            <w:vAlign w:val="center"/>
          </w:tcPr>
          <w:p w14:paraId="516D594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见《研究生公共选修课程目录》</w:t>
            </w:r>
          </w:p>
        </w:tc>
        <w:tc>
          <w:tcPr>
            <w:tcW w:w="708" w:type="dxa"/>
            <w:tcBorders>
              <w:bottom w:val="single" w:color="auto" w:sz="4" w:space="0"/>
            </w:tcBorders>
            <w:vAlign w:val="center"/>
          </w:tcPr>
          <w:p w14:paraId="683F8B21">
            <w:pPr>
              <w:pStyle w:val="8"/>
              <w:spacing w:line="240" w:lineRule="auto"/>
              <w:rPr>
                <w:color w:val="000000" w:themeColor="text1"/>
                <w:sz w:val="18"/>
                <w:szCs w:val="18"/>
                <w14:textFill>
                  <w14:solidFill>
                    <w14:schemeClr w14:val="tx1"/>
                  </w14:solidFill>
                </w14:textFill>
              </w:rPr>
            </w:pPr>
          </w:p>
        </w:tc>
        <w:tc>
          <w:tcPr>
            <w:tcW w:w="709" w:type="dxa"/>
            <w:tcBorders>
              <w:bottom w:val="single" w:color="auto" w:sz="4" w:space="0"/>
            </w:tcBorders>
            <w:vAlign w:val="center"/>
          </w:tcPr>
          <w:p w14:paraId="4C9C340A">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1</w:t>
            </w:r>
          </w:p>
        </w:tc>
        <w:tc>
          <w:tcPr>
            <w:tcW w:w="851" w:type="dxa"/>
            <w:tcBorders>
              <w:bottom w:val="single" w:color="auto" w:sz="4" w:space="0"/>
            </w:tcBorders>
            <w:vAlign w:val="center"/>
          </w:tcPr>
          <w:p w14:paraId="1CB77675">
            <w:pPr>
              <w:pStyle w:val="8"/>
              <w:spacing w:line="240" w:lineRule="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人文素养</w:t>
            </w:r>
            <w:r>
              <w:rPr>
                <w:rFonts w:hint="eastAsia" w:ascii="宋体" w:hAnsi="宋体"/>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1学分</w:t>
            </w:r>
          </w:p>
        </w:tc>
      </w:tr>
      <w:tr w14:paraId="721F15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640" w:type="dxa"/>
            <w:gridSpan w:val="2"/>
            <w:vMerge w:val="restart"/>
          </w:tcPr>
          <w:p w14:paraId="5F35F5F5">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必</w:t>
            </w:r>
            <w:r>
              <w:rPr>
                <w:rFonts w:hint="eastAsia"/>
                <w:color w:val="000000" w:themeColor="text1"/>
                <w:sz w:val="18"/>
                <w:szCs w:val="18"/>
                <w14:textFill>
                  <w14:solidFill>
                    <w14:schemeClr w14:val="tx1"/>
                  </w14:solidFill>
                </w14:textFill>
              </w:rPr>
              <w:t>修</w:t>
            </w:r>
            <w:r>
              <w:rPr>
                <w:color w:val="000000" w:themeColor="text1"/>
                <w:sz w:val="18"/>
                <w:szCs w:val="18"/>
                <w14:textFill>
                  <w14:solidFill>
                    <w14:schemeClr w14:val="tx1"/>
                  </w14:solidFill>
                </w14:textFill>
              </w:rPr>
              <w:t>环节</w:t>
            </w:r>
          </w:p>
          <w:p w14:paraId="4F653180">
            <w:pPr>
              <w:pStyle w:val="8"/>
              <w:spacing w:line="240" w:lineRule="auto"/>
              <w:rPr>
                <w:color w:val="000000" w:themeColor="text1"/>
                <w:sz w:val="18"/>
                <w:szCs w:val="18"/>
                <w14:textFill>
                  <w14:solidFill>
                    <w14:schemeClr w14:val="tx1"/>
                  </w14:solidFill>
                </w14:textFill>
              </w:rPr>
            </w:pPr>
            <w:r>
              <w:rPr>
                <w:color w:val="000000" w:themeColor="text1"/>
                <w:sz w:val="18"/>
                <w:szCs w:val="18"/>
                <w:highlight w:val="yellow"/>
                <w14:textFill>
                  <w14:solidFill>
                    <w14:schemeClr w14:val="tx1"/>
                  </w14:solidFill>
                </w14:textFill>
              </w:rPr>
              <w:t>=7学分</w:t>
            </w:r>
          </w:p>
        </w:tc>
        <w:tc>
          <w:tcPr>
            <w:tcW w:w="1134" w:type="dxa"/>
            <w:vAlign w:val="center"/>
          </w:tcPr>
          <w:p w14:paraId="6BE9480B">
            <w:pPr>
              <w:pStyle w:val="8"/>
              <w:spacing w:line="240" w:lineRule="auto"/>
              <w:rPr>
                <w:color w:val="000000" w:themeColor="text1"/>
                <w:sz w:val="18"/>
                <w:szCs w:val="18"/>
                <w14:textFill>
                  <w14:solidFill>
                    <w14:schemeClr w14:val="tx1"/>
                  </w14:solidFill>
                </w14:textFill>
              </w:rPr>
            </w:pPr>
          </w:p>
        </w:tc>
        <w:tc>
          <w:tcPr>
            <w:tcW w:w="3686" w:type="dxa"/>
            <w:vAlign w:val="center"/>
          </w:tcPr>
          <w:p w14:paraId="253E060D">
            <w:pPr>
              <w:pStyle w:val="8"/>
              <w:spacing w:line="240" w:lineRule="auto"/>
              <w:rPr>
                <w:b/>
                <w:color w:val="000000" w:themeColor="text1"/>
                <w:highlight w:val="yellow"/>
                <w14:textFill>
                  <w14:solidFill>
                    <w14:schemeClr w14:val="tx1"/>
                  </w14:solidFill>
                </w14:textFill>
              </w:rPr>
            </w:pPr>
            <w:r>
              <w:rPr>
                <w:b/>
                <w:color w:val="000000" w:themeColor="text1"/>
                <w:sz w:val="18"/>
                <w:szCs w:val="18"/>
                <w:highlight w:val="yellow"/>
                <w14:textFill>
                  <w14:solidFill>
                    <w14:schemeClr w14:val="tx1"/>
                  </w14:solidFill>
                </w14:textFill>
              </w:rPr>
              <w:t>专业实践</w:t>
            </w:r>
          </w:p>
        </w:tc>
        <w:tc>
          <w:tcPr>
            <w:tcW w:w="708" w:type="dxa"/>
            <w:vAlign w:val="center"/>
          </w:tcPr>
          <w:p w14:paraId="3059F93F">
            <w:pPr>
              <w:pStyle w:val="8"/>
              <w:spacing w:line="240" w:lineRule="auto"/>
              <w:rPr>
                <w:color w:val="000000" w:themeColor="text1"/>
                <w:sz w:val="18"/>
                <w:szCs w:val="18"/>
                <w:highlight w:val="yellow"/>
                <w14:textFill>
                  <w14:solidFill>
                    <w14:schemeClr w14:val="tx1"/>
                  </w14:solidFill>
                </w14:textFill>
              </w:rPr>
            </w:pPr>
            <w:r>
              <w:rPr>
                <w:color w:val="000000" w:themeColor="text1"/>
                <w:sz w:val="18"/>
                <w:szCs w:val="18"/>
                <w:highlight w:val="yellow"/>
                <w14:textFill>
                  <w14:solidFill>
                    <w14:schemeClr w14:val="tx1"/>
                  </w14:solidFill>
                </w14:textFill>
              </w:rPr>
              <w:t>6</w:t>
            </w:r>
          </w:p>
        </w:tc>
        <w:tc>
          <w:tcPr>
            <w:tcW w:w="709" w:type="dxa"/>
            <w:vAlign w:val="center"/>
          </w:tcPr>
          <w:p w14:paraId="42A7A889">
            <w:pPr>
              <w:pStyle w:val="8"/>
              <w:spacing w:line="240" w:lineRule="auto"/>
              <w:rPr>
                <w:color w:val="000000" w:themeColor="text1"/>
                <w:sz w:val="18"/>
                <w:szCs w:val="18"/>
                <w:highlight w:val="yellow"/>
                <w14:textFill>
                  <w14:solidFill>
                    <w14:schemeClr w14:val="tx1"/>
                  </w14:solidFill>
                </w14:textFill>
              </w:rPr>
            </w:pPr>
            <w:r>
              <w:rPr>
                <w:color w:val="000000" w:themeColor="text1"/>
                <w:sz w:val="18"/>
                <w:szCs w:val="18"/>
                <w:highlight w:val="yellow"/>
                <w14:textFill>
                  <w14:solidFill>
                    <w14:schemeClr w14:val="tx1"/>
                  </w14:solidFill>
                </w14:textFill>
              </w:rPr>
              <w:t>1-4</w:t>
            </w:r>
          </w:p>
        </w:tc>
        <w:tc>
          <w:tcPr>
            <w:tcW w:w="851" w:type="dxa"/>
            <w:vAlign w:val="center"/>
          </w:tcPr>
          <w:p w14:paraId="45C64115">
            <w:pPr>
              <w:pStyle w:val="8"/>
              <w:spacing w:line="240" w:lineRule="auto"/>
              <w:rPr>
                <w:color w:val="000000" w:themeColor="text1"/>
                <w:sz w:val="18"/>
                <w:szCs w:val="18"/>
                <w14:textFill>
                  <w14:solidFill>
                    <w14:schemeClr w14:val="tx1"/>
                  </w14:solidFill>
                </w14:textFill>
              </w:rPr>
            </w:pPr>
          </w:p>
        </w:tc>
      </w:tr>
      <w:tr w14:paraId="1CBFC5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640" w:type="dxa"/>
            <w:gridSpan w:val="2"/>
            <w:vMerge w:val="continue"/>
          </w:tcPr>
          <w:p w14:paraId="36A38DCF">
            <w:pPr>
              <w:pStyle w:val="8"/>
              <w:spacing w:line="240" w:lineRule="auto"/>
              <w:rPr>
                <w:color w:val="000000" w:themeColor="text1"/>
                <w:sz w:val="18"/>
                <w:szCs w:val="18"/>
                <w14:textFill>
                  <w14:solidFill>
                    <w14:schemeClr w14:val="tx1"/>
                  </w14:solidFill>
                </w14:textFill>
              </w:rPr>
            </w:pPr>
          </w:p>
        </w:tc>
        <w:tc>
          <w:tcPr>
            <w:tcW w:w="1134" w:type="dxa"/>
            <w:vAlign w:val="center"/>
          </w:tcPr>
          <w:p w14:paraId="3B841138">
            <w:pPr>
              <w:pStyle w:val="8"/>
              <w:spacing w:line="240" w:lineRule="auto"/>
              <w:rPr>
                <w:color w:val="000000" w:themeColor="text1"/>
                <w:sz w:val="18"/>
                <w:szCs w:val="18"/>
                <w14:textFill>
                  <w14:solidFill>
                    <w14:schemeClr w14:val="tx1"/>
                  </w14:solidFill>
                </w14:textFill>
              </w:rPr>
            </w:pPr>
          </w:p>
        </w:tc>
        <w:tc>
          <w:tcPr>
            <w:tcW w:w="3686" w:type="dxa"/>
            <w:vAlign w:val="center"/>
          </w:tcPr>
          <w:p w14:paraId="54957513">
            <w:pPr>
              <w:pStyle w:val="8"/>
              <w:spacing w:line="240" w:lineRule="auto"/>
              <w:rPr>
                <w:b/>
                <w:color w:val="000000" w:themeColor="text1"/>
                <w:sz w:val="18"/>
                <w:szCs w:val="18"/>
                <w:highlight w:val="yellow"/>
                <w14:textFill>
                  <w14:solidFill>
                    <w14:schemeClr w14:val="tx1"/>
                  </w14:solidFill>
                </w14:textFill>
              </w:rPr>
            </w:pPr>
            <w:r>
              <w:rPr>
                <w:rFonts w:hint="eastAsia"/>
                <w:b/>
                <w:color w:val="000000" w:themeColor="text1"/>
                <w:sz w:val="18"/>
                <w:szCs w:val="18"/>
                <w:highlight w:val="yellow"/>
                <w14:textFill>
                  <w14:solidFill>
                    <w14:schemeClr w14:val="tx1"/>
                  </w14:solidFill>
                </w14:textFill>
              </w:rPr>
              <w:t>学术与技术交流</w:t>
            </w:r>
          </w:p>
        </w:tc>
        <w:tc>
          <w:tcPr>
            <w:tcW w:w="708" w:type="dxa"/>
            <w:vAlign w:val="center"/>
          </w:tcPr>
          <w:p w14:paraId="04B92AAE">
            <w:pPr>
              <w:pStyle w:val="8"/>
              <w:spacing w:line="240" w:lineRule="auto"/>
              <w:rPr>
                <w:color w:val="000000" w:themeColor="text1"/>
                <w:sz w:val="18"/>
                <w:szCs w:val="18"/>
                <w:highlight w:val="yellow"/>
                <w14:textFill>
                  <w14:solidFill>
                    <w14:schemeClr w14:val="tx1"/>
                  </w14:solidFill>
                </w14:textFill>
              </w:rPr>
            </w:pPr>
            <w:r>
              <w:rPr>
                <w:rFonts w:hint="eastAsia"/>
                <w:color w:val="000000" w:themeColor="text1"/>
                <w:sz w:val="18"/>
                <w:szCs w:val="18"/>
                <w:highlight w:val="yellow"/>
                <w14:textFill>
                  <w14:solidFill>
                    <w14:schemeClr w14:val="tx1"/>
                  </w14:solidFill>
                </w14:textFill>
              </w:rPr>
              <w:t>1</w:t>
            </w:r>
          </w:p>
        </w:tc>
        <w:tc>
          <w:tcPr>
            <w:tcW w:w="709" w:type="dxa"/>
            <w:vAlign w:val="center"/>
          </w:tcPr>
          <w:p w14:paraId="4EA70158">
            <w:pPr>
              <w:pStyle w:val="8"/>
              <w:spacing w:line="240" w:lineRule="auto"/>
              <w:rPr>
                <w:color w:val="000000" w:themeColor="text1"/>
                <w:sz w:val="18"/>
                <w:szCs w:val="18"/>
                <w:highlight w:val="yellow"/>
                <w14:textFill>
                  <w14:solidFill>
                    <w14:schemeClr w14:val="tx1"/>
                  </w14:solidFill>
                </w14:textFill>
              </w:rPr>
            </w:pPr>
            <w:r>
              <w:rPr>
                <w:color w:val="000000" w:themeColor="text1"/>
                <w:sz w:val="18"/>
                <w:szCs w:val="18"/>
                <w:highlight w:val="yellow"/>
                <w14:textFill>
                  <w14:solidFill>
                    <w14:schemeClr w14:val="tx1"/>
                  </w14:solidFill>
                </w14:textFill>
              </w:rPr>
              <w:t>1-4</w:t>
            </w:r>
          </w:p>
        </w:tc>
        <w:tc>
          <w:tcPr>
            <w:tcW w:w="851" w:type="dxa"/>
            <w:vAlign w:val="center"/>
          </w:tcPr>
          <w:p w14:paraId="77EB6648">
            <w:pPr>
              <w:pStyle w:val="8"/>
              <w:spacing w:line="240" w:lineRule="auto"/>
              <w:rPr>
                <w:color w:val="000000" w:themeColor="text1"/>
                <w:sz w:val="18"/>
                <w:szCs w:val="18"/>
                <w14:textFill>
                  <w14:solidFill>
                    <w14:schemeClr w14:val="tx1"/>
                  </w14:solidFill>
                </w14:textFill>
              </w:rPr>
            </w:pPr>
          </w:p>
        </w:tc>
      </w:tr>
      <w:tr w14:paraId="144B5F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640" w:type="dxa"/>
            <w:gridSpan w:val="2"/>
            <w:vAlign w:val="center"/>
          </w:tcPr>
          <w:p w14:paraId="78BF7647">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补修课程</w:t>
            </w:r>
          </w:p>
        </w:tc>
        <w:tc>
          <w:tcPr>
            <w:tcW w:w="1134" w:type="dxa"/>
            <w:vAlign w:val="center"/>
          </w:tcPr>
          <w:p w14:paraId="0FB892D5">
            <w:pPr>
              <w:pStyle w:val="8"/>
              <w:spacing w:line="240" w:lineRule="auto"/>
              <w:rPr>
                <w:color w:val="000000" w:themeColor="text1"/>
                <w:sz w:val="18"/>
                <w:szCs w:val="18"/>
                <w14:textFill>
                  <w14:solidFill>
                    <w14:schemeClr w14:val="tx1"/>
                  </w14:solidFill>
                </w14:textFill>
              </w:rPr>
            </w:pPr>
          </w:p>
        </w:tc>
        <w:tc>
          <w:tcPr>
            <w:tcW w:w="3686" w:type="dxa"/>
            <w:vAlign w:val="center"/>
          </w:tcPr>
          <w:p w14:paraId="5AA8F13C">
            <w:pPr>
              <w:pStyle w:val="8"/>
              <w:spacing w:line="240" w:lineRule="auto"/>
              <w:rPr>
                <w:color w:val="000000" w:themeColor="text1"/>
                <w14:textFill>
                  <w14:solidFill>
                    <w14:schemeClr w14:val="tx1"/>
                  </w14:solidFill>
                </w14:textFill>
              </w:rPr>
            </w:pPr>
          </w:p>
        </w:tc>
        <w:tc>
          <w:tcPr>
            <w:tcW w:w="708" w:type="dxa"/>
            <w:vAlign w:val="center"/>
          </w:tcPr>
          <w:p w14:paraId="723CE29B">
            <w:pPr>
              <w:pStyle w:val="8"/>
              <w:spacing w:line="240" w:lineRule="auto"/>
              <w:rPr>
                <w:color w:val="000000" w:themeColor="text1"/>
                <w14:textFill>
                  <w14:solidFill>
                    <w14:schemeClr w14:val="tx1"/>
                  </w14:solidFill>
                </w14:textFill>
              </w:rPr>
            </w:pPr>
          </w:p>
        </w:tc>
        <w:tc>
          <w:tcPr>
            <w:tcW w:w="709" w:type="dxa"/>
            <w:vAlign w:val="center"/>
          </w:tcPr>
          <w:p w14:paraId="6FAE6A41">
            <w:pPr>
              <w:pStyle w:val="8"/>
              <w:spacing w:line="240" w:lineRule="auto"/>
              <w:rPr>
                <w:color w:val="000000" w:themeColor="text1"/>
                <w14:textFill>
                  <w14:solidFill>
                    <w14:schemeClr w14:val="tx1"/>
                  </w14:solidFill>
                </w14:textFill>
              </w:rPr>
            </w:pPr>
          </w:p>
        </w:tc>
        <w:tc>
          <w:tcPr>
            <w:tcW w:w="851" w:type="dxa"/>
            <w:vAlign w:val="center"/>
          </w:tcPr>
          <w:p w14:paraId="485ADAC9">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不计</w:t>
            </w:r>
          </w:p>
          <w:p w14:paraId="5E4CD7BE">
            <w:pPr>
              <w:pStyle w:val="8"/>
              <w:spacing w:line="240" w:lineRule="auto"/>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学分</w:t>
            </w:r>
          </w:p>
        </w:tc>
      </w:tr>
    </w:tbl>
    <w:p w14:paraId="24B4D234">
      <w:pPr>
        <w:widowControl/>
        <w:spacing w:line="360" w:lineRule="auto"/>
        <w:ind w:firstLine="480" w:firstLineChars="200"/>
        <w:jc w:val="left"/>
        <w:rPr>
          <w:rFonts w:asciiTheme="minorEastAsia" w:hAnsiTheme="minorEastAsia" w:eastAsiaTheme="minorEastAsia" w:cstheme="minorEastAsia"/>
          <w:color w:val="000000" w:themeColor="text1"/>
          <w:kern w:val="0"/>
          <w:sz w:val="24"/>
          <w:lang w:bidi="ar"/>
          <w14:textFill>
            <w14:solidFill>
              <w14:schemeClr w14:val="tx1"/>
            </w14:solidFill>
          </w14:textFill>
        </w:rPr>
      </w:pPr>
      <w:bookmarkStart w:id="2" w:name="_Hlk102054340"/>
      <w:r>
        <w:rPr>
          <w:rFonts w:hint="eastAsia" w:asciiTheme="minorEastAsia" w:hAnsiTheme="minorEastAsia" w:eastAsiaTheme="minorEastAsia" w:cstheme="minorEastAsia"/>
          <w:color w:val="000000" w:themeColor="text1"/>
          <w:kern w:val="0"/>
          <w:sz w:val="24"/>
          <w:lang w:bidi="ar"/>
          <w14:textFill>
            <w14:solidFill>
              <w14:schemeClr w14:val="tx1"/>
            </w14:solidFill>
          </w14:textFill>
        </w:rPr>
        <w:t>注：1）学分抵扣，为满足社会多元化需求和学生个性化培养的要求，凡在科研成果、创新创业、社会工作获得突出成绩的，经研究生申请、院部认定后，可以冲抵一定选修课学分。具体内容参照相关文件规定。</w:t>
      </w:r>
    </w:p>
    <w:p w14:paraId="0B24ABFB">
      <w:pPr>
        <w:widowControl/>
        <w:spacing w:line="360" w:lineRule="auto"/>
        <w:ind w:firstLine="480" w:firstLineChars="200"/>
        <w:jc w:val="left"/>
        <w:rPr>
          <w:rFonts w:asciiTheme="minorEastAsia" w:hAnsiTheme="minorEastAsia" w:eastAsiaTheme="minorEastAsia" w:cstheme="minorEastAsia"/>
          <w:color w:val="000000" w:themeColor="text1"/>
          <w:kern w:val="0"/>
          <w:sz w:val="24"/>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lang w:bidi="ar"/>
          <w14:textFill>
            <w14:solidFill>
              <w14:schemeClr w14:val="tx1"/>
            </w14:solidFill>
          </w14:textFill>
        </w:rPr>
        <w:t>2）工程类实验室安全教育，在课程中需明确学时要求。</w:t>
      </w:r>
    </w:p>
    <w:bookmarkEnd w:id="2"/>
    <w:p w14:paraId="2FFF1A80">
      <w:pPr>
        <w:widowControl/>
        <w:spacing w:line="360" w:lineRule="auto"/>
        <w:ind w:firstLine="480" w:firstLineChars="200"/>
        <w:jc w:val="left"/>
        <w:rPr>
          <w:rFonts w:asciiTheme="minorEastAsia" w:hAnsiTheme="minorEastAsia" w:eastAsiaTheme="minorEastAsia" w:cstheme="minorEastAsia"/>
          <w:color w:val="000000" w:themeColor="text1"/>
          <w:kern w:val="0"/>
          <w:sz w:val="24"/>
          <w:highlight w:val="yellow"/>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3）《科学道德与学术规范》</w:t>
      </w:r>
      <w:r>
        <w:rPr>
          <w:rFonts w:hint="eastAsia" w:asciiTheme="minorEastAsia" w:hAnsiTheme="minorEastAsia" w:eastAsiaTheme="minorEastAsia" w:cstheme="minorEastAsia"/>
          <w:color w:val="000000" w:themeColor="text1"/>
          <w:kern w:val="0"/>
          <w:sz w:val="24"/>
          <w:highlight w:val="yellow"/>
          <w:lang w:val="en-US" w:eastAsia="zh-CN" w:bidi="ar"/>
          <w14:textFill>
            <w14:solidFill>
              <w14:schemeClr w14:val="tx1"/>
            </w14:solidFill>
          </w14:textFill>
        </w:rPr>
        <w:t>课程的授课与考核由电气工程学部负责</w:t>
      </w: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实施。</w:t>
      </w:r>
    </w:p>
    <w:p w14:paraId="61BDC270">
      <w:pPr>
        <w:widowControl/>
        <w:spacing w:line="360" w:lineRule="auto"/>
        <w:ind w:firstLine="480" w:firstLineChars="200"/>
        <w:jc w:val="left"/>
        <w:rPr>
          <w:rFonts w:asciiTheme="minorEastAsia" w:hAnsiTheme="minorEastAsia" w:eastAsiaTheme="minorEastAsia" w:cstheme="minorEastAsia"/>
          <w:color w:val="000000" w:themeColor="text1"/>
          <w:kern w:val="0"/>
          <w:sz w:val="24"/>
          <w:highlight w:val="yellow"/>
          <w:lang w:bidi="ar"/>
          <w14:textFill>
            <w14:solidFill>
              <w14:schemeClr w14:val="tx1"/>
            </w14:solidFill>
          </w14:textFill>
        </w:rPr>
      </w:pPr>
      <w:r>
        <w:rPr>
          <w:rFonts w:asciiTheme="minorEastAsia" w:hAnsiTheme="minorEastAsia" w:eastAsiaTheme="minorEastAsia" w:cstheme="minorEastAsia"/>
          <w:color w:val="000000" w:themeColor="text1"/>
          <w:kern w:val="0"/>
          <w:sz w:val="24"/>
          <w:highlight w:val="yellow"/>
          <w:lang w:bidi="ar"/>
          <w14:textFill>
            <w14:solidFill>
              <w14:schemeClr w14:val="tx1"/>
            </w14:solidFill>
          </w14:textFill>
        </w:rPr>
        <w:t>4</w:t>
      </w: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）《人工智能通识课》课程的</w:t>
      </w:r>
      <w:r>
        <w:rPr>
          <w:rFonts w:hint="eastAsia" w:asciiTheme="minorEastAsia" w:hAnsiTheme="minorEastAsia" w:eastAsiaTheme="minorEastAsia" w:cstheme="minorEastAsia"/>
          <w:color w:val="000000" w:themeColor="text1"/>
          <w:kern w:val="0"/>
          <w:sz w:val="24"/>
          <w:highlight w:val="yellow"/>
          <w:lang w:val="en-US" w:eastAsia="zh-CN" w:bidi="ar"/>
          <w14:textFill>
            <w14:solidFill>
              <w14:schemeClr w14:val="tx1"/>
            </w14:solidFill>
          </w14:textFill>
        </w:rPr>
        <w:t>授课与考核由人工智能学部负责</w:t>
      </w:r>
      <w:r>
        <w:rPr>
          <w:rFonts w:hint="eastAsia" w:asciiTheme="minorEastAsia" w:hAnsiTheme="minorEastAsia" w:eastAsiaTheme="minorEastAsia" w:cstheme="minorEastAsia"/>
          <w:color w:val="000000" w:themeColor="text1"/>
          <w:kern w:val="0"/>
          <w:sz w:val="24"/>
          <w:highlight w:val="yellow"/>
          <w:lang w:bidi="ar"/>
          <w14:textFill>
            <w14:solidFill>
              <w14:schemeClr w14:val="tx1"/>
            </w14:solidFill>
          </w14:textFill>
        </w:rPr>
        <w:t>实施。</w:t>
      </w:r>
    </w:p>
    <w:p w14:paraId="51F9287C">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w:t>
      </w:r>
      <w:r>
        <w:rPr>
          <w:rFonts w:ascii="黑体" w:hAnsi="黑体" w:eastAsia="黑体"/>
          <w:color w:val="000000" w:themeColor="text1"/>
          <w:sz w:val="24"/>
          <w14:textFill>
            <w14:solidFill>
              <w14:schemeClr w14:val="tx1"/>
            </w14:solidFill>
          </w14:textFill>
        </w:rPr>
        <w:t>3</w:t>
      </w:r>
      <w:r>
        <w:rPr>
          <w:rFonts w:hint="eastAsia" w:ascii="黑体" w:hAnsi="黑体" w:eastAsia="黑体"/>
          <w:color w:val="000000" w:themeColor="text1"/>
          <w:sz w:val="24"/>
          <w14:textFill>
            <w14:solidFill>
              <w14:schemeClr w14:val="tx1"/>
            </w14:solidFill>
          </w14:textFill>
        </w:rPr>
        <w:t>）必修环节（</w:t>
      </w:r>
      <w:r>
        <w:rPr>
          <w:rFonts w:ascii="黑体" w:hAnsi="黑体" w:eastAsia="黑体"/>
          <w:color w:val="000000" w:themeColor="text1"/>
          <w:sz w:val="24"/>
          <w14:textFill>
            <w14:solidFill>
              <w14:schemeClr w14:val="tx1"/>
            </w14:solidFill>
          </w14:textFill>
        </w:rPr>
        <w:t>7</w:t>
      </w:r>
      <w:r>
        <w:rPr>
          <w:rFonts w:hint="eastAsia" w:ascii="黑体" w:hAnsi="黑体" w:eastAsia="黑体"/>
          <w:color w:val="000000" w:themeColor="text1"/>
          <w:sz w:val="24"/>
          <w14:textFill>
            <w14:solidFill>
              <w14:schemeClr w14:val="tx1"/>
            </w14:solidFill>
          </w14:textFill>
        </w:rPr>
        <w:t>学分）</w:t>
      </w:r>
    </w:p>
    <w:p w14:paraId="11CEAC31">
      <w:pPr>
        <w:autoSpaceDE w:val="0"/>
        <w:autoSpaceDN w:val="0"/>
        <w:adjustRightInd w:val="0"/>
        <w:spacing w:line="360" w:lineRule="auto"/>
        <w:ind w:firstLine="482" w:firstLineChars="200"/>
        <w:jc w:val="left"/>
        <w:rPr>
          <w:rFonts w:ascii="宋体" w:hAnsi="宋体" w:cs="仿宋_GB2312"/>
          <w:b/>
          <w:color w:val="000000" w:themeColor="text1"/>
          <w:kern w:val="0"/>
          <w:sz w:val="24"/>
          <w:highlight w:val="yellow"/>
          <w14:textFill>
            <w14:solidFill>
              <w14:schemeClr w14:val="tx1"/>
            </w14:solidFill>
          </w14:textFill>
        </w:rPr>
      </w:pPr>
      <w:r>
        <w:rPr>
          <w:rFonts w:hint="eastAsia" w:ascii="宋体" w:hAnsi="宋体" w:cs="仿宋_GB2312"/>
          <w:b/>
          <w:color w:val="000000" w:themeColor="text1"/>
          <w:kern w:val="0"/>
          <w:sz w:val="24"/>
          <w:highlight w:val="yellow"/>
          <w14:textFill>
            <w14:solidFill>
              <w14:schemeClr w14:val="tx1"/>
            </w14:solidFill>
          </w14:textFill>
        </w:rPr>
        <w:t>1）专业</w:t>
      </w:r>
      <w:r>
        <w:rPr>
          <w:rFonts w:ascii="宋体" w:hAnsi="宋体" w:cs="仿宋_GB2312"/>
          <w:b/>
          <w:color w:val="000000" w:themeColor="text1"/>
          <w:kern w:val="0"/>
          <w:sz w:val="24"/>
          <w:highlight w:val="yellow"/>
          <w14:textFill>
            <w14:solidFill>
              <w14:schemeClr w14:val="tx1"/>
            </w14:solidFill>
          </w14:textFill>
        </w:rPr>
        <w:t>实践（6学分）</w:t>
      </w:r>
    </w:p>
    <w:p w14:paraId="573678A3">
      <w:pPr>
        <w:widowControl/>
        <w:spacing w:line="360" w:lineRule="auto"/>
        <w:ind w:firstLine="480" w:firstLineChars="200"/>
        <w:rPr>
          <w:rFonts w:ascii="宋体" w:hAnsi="宋体" w:cs="宋体"/>
          <w:color w:val="000000" w:themeColor="text1"/>
          <w:kern w:val="0"/>
          <w:sz w:val="24"/>
          <w:highlight w:val="yellow"/>
          <w:lang w:bidi="ar"/>
          <w14:textFill>
            <w14:solidFill>
              <w14:schemeClr w14:val="tx1"/>
            </w14:solidFill>
          </w14:textFill>
        </w:rPr>
      </w:pPr>
      <w:r>
        <w:rPr>
          <w:rFonts w:hint="eastAsia" w:ascii="宋体" w:hAnsi="宋体" w:cs="宋体"/>
          <w:color w:val="000000" w:themeColor="text1"/>
          <w:kern w:val="0"/>
          <w:sz w:val="24"/>
          <w:highlight w:val="yellow"/>
          <w:lang w:bidi="ar"/>
          <w14:textFill>
            <w14:solidFill>
              <w14:schemeClr w14:val="tx1"/>
            </w14:solidFill>
          </w14:textFill>
        </w:rPr>
        <w:t>工程类专业实践按照该类专业学位教指委相关文件要求执行。</w:t>
      </w:r>
      <w:r>
        <w:rPr>
          <w:rFonts w:hint="eastAsia" w:ascii="宋体" w:hAnsi="宋体" w:cs="宋体"/>
          <w:b/>
          <w:color w:val="000000" w:themeColor="text1"/>
          <w:kern w:val="0"/>
          <w:sz w:val="24"/>
          <w:highlight w:val="yellow"/>
          <w:lang w:bidi="ar"/>
          <w14:textFill>
            <w14:solidFill>
              <w14:schemeClr w14:val="tx1"/>
            </w14:solidFill>
          </w14:textFill>
        </w:rPr>
        <w:t>鼓励到企业进行，可采用集中实践与分段实践相结合的方式，可结合工程技术项目开展，也可与学位论文或实践成果工作同步开展。在学期间，全日制硕士研究生专业实践一般应不少于</w:t>
      </w:r>
      <w:r>
        <w:rPr>
          <w:rFonts w:ascii="宋体" w:hAnsi="宋体" w:cs="宋体"/>
          <w:b/>
          <w:color w:val="000000" w:themeColor="text1"/>
          <w:kern w:val="0"/>
          <w:sz w:val="24"/>
          <w:highlight w:val="yellow"/>
          <w:lang w:bidi="ar"/>
          <w14:textFill>
            <w14:solidFill>
              <w14:schemeClr w14:val="tx1"/>
            </w14:solidFill>
          </w14:textFill>
        </w:rPr>
        <w:t>6</w:t>
      </w:r>
      <w:r>
        <w:rPr>
          <w:rFonts w:hint="eastAsia" w:ascii="宋体" w:hAnsi="宋体" w:cs="宋体"/>
          <w:b/>
          <w:color w:val="000000" w:themeColor="text1"/>
          <w:kern w:val="0"/>
          <w:sz w:val="24"/>
          <w:highlight w:val="yellow"/>
          <w:lang w:bidi="ar"/>
          <w14:textFill>
            <w14:solidFill>
              <w14:schemeClr w14:val="tx1"/>
            </w14:solidFill>
          </w14:textFill>
        </w:rPr>
        <w:t>个月。</w:t>
      </w:r>
      <w:r>
        <w:rPr>
          <w:rFonts w:hint="eastAsia" w:ascii="宋体" w:hAnsi="宋体" w:cs="宋体"/>
          <w:color w:val="000000" w:themeColor="text1"/>
          <w:kern w:val="0"/>
          <w:sz w:val="24"/>
          <w:highlight w:val="yellow"/>
          <w:lang w:bidi="ar"/>
          <w14:textFill>
            <w14:solidFill>
              <w14:schemeClr w14:val="tx1"/>
            </w14:solidFill>
          </w14:textFill>
        </w:rPr>
        <w:t>非全日制工程类硕士专业学位研究生专业实践可结合自身工作岗位任务开展。</w:t>
      </w:r>
    </w:p>
    <w:p w14:paraId="4802283F">
      <w:pPr>
        <w:widowControl/>
        <w:spacing w:line="360" w:lineRule="auto"/>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导师（组）指导研究生制定《专业实践工作计划》，明确实践任务和考核要求。专业实践内容要具有一定的工程技术难度和工作量，体现所解决工程问题的成效。专业实践结束后，研究生须撰写《专业实践总结报告》，由导师（组）进行考核，重点考核研究生完成专业实践任务的情况和取得的专业实践成果等内容。</w:t>
      </w:r>
    </w:p>
    <w:p w14:paraId="245BF497">
      <w:pPr>
        <w:widowControl/>
        <w:spacing w:line="360" w:lineRule="auto"/>
        <w:ind w:firstLine="480" w:firstLineChars="200"/>
        <w:jc w:val="left"/>
        <w:rPr>
          <w:rFonts w:ascii="宋体" w:hAnsi="宋体" w:cs="宋体"/>
          <w:color w:val="000000" w:themeColor="text1"/>
          <w:kern w:val="0"/>
          <w:sz w:val="24"/>
          <w:highlight w:val="yellow"/>
          <w:lang w:bidi="ar"/>
          <w14:textFill>
            <w14:solidFill>
              <w14:schemeClr w14:val="tx1"/>
            </w14:solidFill>
          </w14:textFill>
        </w:rPr>
      </w:pPr>
      <w:r>
        <w:rPr>
          <w:rFonts w:hint="eastAsia" w:ascii="宋体" w:hAnsi="宋体" w:cs="宋体"/>
          <w:color w:val="000000" w:themeColor="text1"/>
          <w:kern w:val="0"/>
          <w:sz w:val="24"/>
          <w:highlight w:val="yellow"/>
          <w:lang w:bidi="ar"/>
          <w14:textFill>
            <w14:solidFill>
              <w14:schemeClr w14:val="tx1"/>
            </w14:solidFill>
          </w14:textFill>
        </w:rPr>
        <w:t>工程管理硕士、翻译类硕士专业实践（专业实习）按照对应专业学位教指委相关文件要求执行。</w:t>
      </w:r>
    </w:p>
    <w:p w14:paraId="4E1A6DC9">
      <w:pPr>
        <w:numPr>
          <w:ilvl w:val="0"/>
          <w:numId w:val="2"/>
        </w:numPr>
        <w:autoSpaceDE w:val="0"/>
        <w:autoSpaceDN w:val="0"/>
        <w:adjustRightInd w:val="0"/>
        <w:spacing w:line="360" w:lineRule="auto"/>
        <w:ind w:firstLine="482"/>
        <w:jc w:val="left"/>
        <w:rPr>
          <w:rFonts w:ascii="宋体" w:hAnsi="宋体" w:cs="仿宋_GB2312"/>
          <w:b/>
          <w:color w:val="000000" w:themeColor="text1"/>
          <w:kern w:val="0"/>
          <w:sz w:val="24"/>
          <w:highlight w:val="yellow"/>
          <w14:textFill>
            <w14:solidFill>
              <w14:schemeClr w14:val="tx1"/>
            </w14:solidFill>
          </w14:textFill>
        </w:rPr>
      </w:pPr>
      <w:r>
        <w:rPr>
          <w:rFonts w:hint="eastAsia" w:ascii="宋体" w:hAnsi="宋体" w:cs="仿宋_GB2312"/>
          <w:b/>
          <w:color w:val="000000" w:themeColor="text1"/>
          <w:kern w:val="0"/>
          <w:sz w:val="24"/>
          <w:highlight w:val="yellow"/>
          <w14:textFill>
            <w14:solidFill>
              <w14:schemeClr w14:val="tx1"/>
            </w14:solidFill>
          </w14:textFill>
        </w:rPr>
        <w:t>学术与技术交流</w:t>
      </w:r>
      <w:r>
        <w:rPr>
          <w:rFonts w:ascii="宋体" w:hAnsi="宋体" w:cs="仿宋_GB2312"/>
          <w:b/>
          <w:color w:val="000000" w:themeColor="text1"/>
          <w:kern w:val="0"/>
          <w:sz w:val="24"/>
          <w:highlight w:val="yellow"/>
          <w14:textFill>
            <w14:solidFill>
              <w14:schemeClr w14:val="tx1"/>
            </w14:solidFill>
          </w14:textFill>
        </w:rPr>
        <w:t>（</w:t>
      </w:r>
      <w:r>
        <w:rPr>
          <w:rFonts w:hint="eastAsia" w:ascii="宋体" w:hAnsi="宋体" w:cs="仿宋_GB2312"/>
          <w:b/>
          <w:color w:val="000000" w:themeColor="text1"/>
          <w:kern w:val="0"/>
          <w:sz w:val="24"/>
          <w:highlight w:val="yellow"/>
          <w14:textFill>
            <w14:solidFill>
              <w14:schemeClr w14:val="tx1"/>
            </w14:solidFill>
          </w14:textFill>
        </w:rPr>
        <w:t>1</w:t>
      </w:r>
      <w:r>
        <w:rPr>
          <w:rFonts w:ascii="宋体" w:hAnsi="宋体" w:cs="仿宋_GB2312"/>
          <w:b/>
          <w:color w:val="000000" w:themeColor="text1"/>
          <w:kern w:val="0"/>
          <w:sz w:val="24"/>
          <w:highlight w:val="yellow"/>
          <w14:textFill>
            <w14:solidFill>
              <w14:schemeClr w14:val="tx1"/>
            </w14:solidFill>
          </w14:textFill>
        </w:rPr>
        <w:t>学分）</w:t>
      </w:r>
    </w:p>
    <w:p w14:paraId="66F293E1">
      <w:pPr>
        <w:autoSpaceDE w:val="0"/>
        <w:autoSpaceDN w:val="0"/>
        <w:adjustRightInd w:val="0"/>
        <w:spacing w:line="360" w:lineRule="auto"/>
        <w:ind w:firstLine="480" w:firstLineChars="200"/>
        <w:jc w:val="left"/>
        <w:rPr>
          <w:rFonts w:ascii="宋体" w:hAnsi="宋体" w:cs="仿宋_GB2312"/>
          <w:color w:val="000000" w:themeColor="text1"/>
          <w:kern w:val="0"/>
          <w:sz w:val="24"/>
          <w:highlight w:val="yellow"/>
          <w14:textFill>
            <w14:solidFill>
              <w14:schemeClr w14:val="tx1"/>
            </w14:solidFill>
          </w14:textFill>
        </w:rPr>
      </w:pPr>
      <w:r>
        <w:rPr>
          <w:rFonts w:hint="eastAsia" w:ascii="宋体" w:hAnsi="宋体" w:cs="仿宋_GB2312"/>
          <w:color w:val="000000" w:themeColor="text1"/>
          <w:kern w:val="0"/>
          <w:sz w:val="24"/>
          <w:highlight w:val="yellow"/>
          <w14:textFill>
            <w14:solidFill>
              <w14:schemeClr w14:val="tx1"/>
            </w14:solidFill>
          </w14:textFill>
        </w:rPr>
        <w:t>学术与技术交流应贯穿于研究生培养的全过程，提升研究生对学科前沿、行业动态、前沿技术等方面的了解与认识</w:t>
      </w:r>
      <w:r>
        <w:rPr>
          <w:rFonts w:ascii="宋体" w:hAnsi="宋体" w:cs="仿宋_GB2312"/>
          <w:color w:val="000000" w:themeColor="text1"/>
          <w:kern w:val="0"/>
          <w:sz w:val="24"/>
          <w:highlight w:val="yellow"/>
          <w14:textFill>
            <w14:solidFill>
              <w14:schemeClr w14:val="tx1"/>
            </w14:solidFill>
          </w14:textFill>
        </w:rPr>
        <w:t>。</w:t>
      </w:r>
      <w:r>
        <w:rPr>
          <w:rFonts w:hint="eastAsia" w:ascii="宋体" w:hAnsi="宋体" w:cs="仿宋_GB2312"/>
          <w:color w:val="000000" w:themeColor="text1"/>
          <w:kern w:val="0"/>
          <w:sz w:val="24"/>
          <w:highlight w:val="yellow"/>
          <w14:textFill>
            <w14:solidFill>
              <w14:schemeClr w14:val="tx1"/>
            </w14:solidFill>
          </w14:textFill>
        </w:rPr>
        <w:t>各院部应制定明确的任务要求和考核指标。</w:t>
      </w:r>
    </w:p>
    <w:p w14:paraId="40F928F7">
      <w:pPr>
        <w:spacing w:line="360" w:lineRule="auto"/>
        <w:rPr>
          <w:rFonts w:ascii="黑体" w:hAnsi="黑体" w:eastAsia="黑体"/>
          <w:color w:val="000000" w:themeColor="text1"/>
          <w:sz w:val="24"/>
          <w:highlight w:val="yellow"/>
          <w14:textFill>
            <w14:solidFill>
              <w14:schemeClr w14:val="tx1"/>
            </w14:solidFill>
          </w14:textFill>
        </w:rPr>
      </w:pPr>
      <w:r>
        <w:rPr>
          <w:rFonts w:hint="eastAsia" w:ascii="黑体" w:hAnsi="黑体" w:eastAsia="黑体"/>
          <w:color w:val="000000" w:themeColor="text1"/>
          <w:sz w:val="24"/>
          <w:highlight w:val="yellow"/>
          <w14:textFill>
            <w14:solidFill>
              <w14:schemeClr w14:val="tx1"/>
            </w14:solidFill>
          </w14:textFill>
        </w:rPr>
        <w:t>6.学位论文与申请学位实践成果</w:t>
      </w:r>
    </w:p>
    <w:p w14:paraId="53311FC2">
      <w:pPr>
        <w:spacing w:line="360" w:lineRule="auto"/>
        <w:ind w:firstLine="480" w:firstLineChars="200"/>
        <w:rPr>
          <w:color w:val="000000" w:themeColor="text1"/>
          <w:sz w:val="24"/>
          <w:highlight w:val="yellow"/>
          <w14:textFill>
            <w14:solidFill>
              <w14:schemeClr w14:val="tx1"/>
            </w14:solidFill>
          </w14:textFill>
        </w:rPr>
      </w:pPr>
      <w:r>
        <w:rPr>
          <w:rFonts w:hint="eastAsia"/>
          <w:color w:val="000000" w:themeColor="text1"/>
          <w:sz w:val="24"/>
          <w:highlight w:val="yellow"/>
          <w14:textFill>
            <w14:solidFill>
              <w14:schemeClr w14:val="tx1"/>
            </w14:solidFill>
          </w14:textFill>
        </w:rPr>
        <w:t>学位论文和申请学位实践成果是专业学位研究生申请学位的两种成果形式，</w:t>
      </w:r>
      <w:r>
        <w:rPr>
          <w:rFonts w:hint="eastAsia"/>
          <w:b/>
          <w:color w:val="000000" w:themeColor="text1"/>
          <w:sz w:val="24"/>
          <w:highlight w:val="yellow"/>
          <w14:textFill>
            <w14:solidFill>
              <w14:schemeClr w14:val="tx1"/>
            </w14:solidFill>
          </w14:textFill>
        </w:rPr>
        <w:t>专业学位研究生可选择其中一种申请学位</w:t>
      </w:r>
      <w:r>
        <w:rPr>
          <w:rFonts w:hint="eastAsia"/>
          <w:color w:val="000000" w:themeColor="text1"/>
          <w:sz w:val="24"/>
          <w:highlight w:val="yellow"/>
          <w14:textFill>
            <w14:solidFill>
              <w14:schemeClr w14:val="tx1"/>
            </w14:solidFill>
          </w14:textFill>
        </w:rPr>
        <w:t>。</w:t>
      </w:r>
    </w:p>
    <w:p w14:paraId="17CC598F">
      <w:pPr>
        <w:spacing w:line="360" w:lineRule="auto"/>
        <w:ind w:firstLine="482" w:firstLineChars="200"/>
        <w:rPr>
          <w:color w:val="000000" w:themeColor="text1"/>
          <w:sz w:val="24"/>
          <w:highlight w:val="yellow"/>
          <w14:textFill>
            <w14:solidFill>
              <w14:schemeClr w14:val="tx1"/>
            </w14:solidFill>
          </w14:textFill>
        </w:rPr>
      </w:pPr>
      <w:r>
        <w:rPr>
          <w:rFonts w:hint="eastAsia"/>
          <w:b/>
          <w:color w:val="000000" w:themeColor="text1"/>
          <w:sz w:val="24"/>
          <w:highlight w:val="yellow"/>
          <w14:textFill>
            <w14:solidFill>
              <w14:schemeClr w14:val="tx1"/>
            </w14:solidFill>
          </w14:textFill>
        </w:rPr>
        <w:t>学位论文</w:t>
      </w:r>
      <w:r>
        <w:rPr>
          <w:rFonts w:hint="eastAsia"/>
          <w:color w:val="000000" w:themeColor="text1"/>
          <w:sz w:val="24"/>
          <w:highlight w:val="yellow"/>
          <w14:textFill>
            <w14:solidFill>
              <w14:schemeClr w14:val="tx1"/>
            </w14:solidFill>
          </w14:textFill>
        </w:rPr>
        <w:t>应聚焦本行业领域工程实际或具有明确的工程应用前景，形成具有一定先进性或创新性、实践指导性或可直接应用或可为形成解决方案提供支撑的理论或技术成果，以应用研究型专题论文呈现，体现学位申请人在本专业领域掌握坚实的理论基础和系统的专业知识，具有承担专业研究工作或工程实践的能力。</w:t>
      </w:r>
    </w:p>
    <w:p w14:paraId="793EE12B">
      <w:pPr>
        <w:spacing w:line="360" w:lineRule="auto"/>
        <w:ind w:firstLine="482" w:firstLineChars="200"/>
        <w:rPr>
          <w:color w:val="000000" w:themeColor="text1"/>
          <w:sz w:val="24"/>
          <w:highlight w:val="yellow"/>
          <w14:textFill>
            <w14:solidFill>
              <w14:schemeClr w14:val="tx1"/>
            </w14:solidFill>
          </w14:textFill>
        </w:rPr>
      </w:pPr>
      <w:r>
        <w:rPr>
          <w:rFonts w:hint="eastAsia"/>
          <w:b/>
          <w:color w:val="000000" w:themeColor="text1"/>
          <w:sz w:val="24"/>
          <w:highlight w:val="yellow"/>
          <w14:textFill>
            <w14:solidFill>
              <w14:schemeClr w14:val="tx1"/>
            </w14:solidFill>
          </w14:textFill>
        </w:rPr>
        <w:t>申请学位实践成果</w:t>
      </w:r>
      <w:r>
        <w:rPr>
          <w:rFonts w:hint="eastAsia"/>
          <w:color w:val="000000" w:themeColor="text1"/>
          <w:sz w:val="24"/>
          <w:highlight w:val="yellow"/>
          <w14:textFill>
            <w14:solidFill>
              <w14:schemeClr w14:val="tx1"/>
            </w14:solidFill>
          </w14:textFill>
        </w:rPr>
        <w:t>应聚焦工程实际需求，通过学位申请人的实践活动产生具有应用性、先进性的成果，主要以实体或工程形象展示形式呈现。体现学位申请人在本专业领域掌握坚实的理论基础和系统的专业知识，具有运用科学方法、技术手段、人文和环保知识等解决工程实际问题的能力。以实践成果申请学位，应包括可展示实体形式和实践成果总结报告书面形式。</w:t>
      </w:r>
    </w:p>
    <w:p w14:paraId="0A09DED4">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专业学位研究生的</w:t>
      </w:r>
      <w:r>
        <w:rPr>
          <w:rFonts w:hint="eastAsia"/>
          <w:color w:val="000000" w:themeColor="text1"/>
          <w:sz w:val="24"/>
          <w14:textFill>
            <w14:solidFill>
              <w14:schemeClr w14:val="tx1"/>
            </w14:solidFill>
          </w14:textFill>
        </w:rPr>
        <w:t>学位论文（申请学位实践成果）工作是研究生培养的重要组成部分，是对研究生进行科学研究或承担专门技术工作的全面训练，是培养研究生创新能力和实践能力以及综合运用所学知识发现问题、分析问题和解决问题能力的主要环节。</w:t>
      </w:r>
    </w:p>
    <w:p w14:paraId="5E870E26">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highlight w:val="yellow"/>
          <w14:textFill>
            <w14:solidFill>
              <w14:schemeClr w14:val="tx1"/>
            </w14:solidFill>
          </w14:textFill>
        </w:rPr>
        <w:t>学位论文（申请学位实践成果）应经过开题报告（实践成果可行性论证报告）、中期检查、预审（实践成果展示与鉴定）、评阅与答辩等环节，各环节的时间节点和具体要求，按学校相关规定和各专业具体要求执行。</w:t>
      </w:r>
    </w:p>
    <w:p w14:paraId="2B8CEC3A">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学位论文</w:t>
      </w:r>
      <w:r>
        <w:rPr>
          <w:rFonts w:hint="eastAsia"/>
          <w:color w:val="000000" w:themeColor="text1"/>
          <w:sz w:val="24"/>
          <w14:textFill>
            <w14:solidFill>
              <w14:schemeClr w14:val="tx1"/>
            </w14:solidFill>
          </w14:textFill>
        </w:rPr>
        <w:t>（申请学位实践成果）须与实践紧密结合，应符合教育部和专业学位全国教育指导委员会的相关规定，应反映学位申请人具有承担专业实践工作的能力</w:t>
      </w:r>
      <w:r>
        <w:rPr>
          <w:color w:val="000000" w:themeColor="text1"/>
          <w:sz w:val="24"/>
          <w14:textFill>
            <w14:solidFill>
              <w14:schemeClr w14:val="tx1"/>
            </w14:solidFill>
          </w14:textFill>
        </w:rPr>
        <w:t>。学位论文</w:t>
      </w:r>
      <w:r>
        <w:rPr>
          <w:rFonts w:hint="eastAsia"/>
          <w:color w:val="000000" w:themeColor="text1"/>
          <w:sz w:val="24"/>
          <w14:textFill>
            <w14:solidFill>
              <w14:schemeClr w14:val="tx1"/>
            </w14:solidFill>
          </w14:textFill>
        </w:rPr>
        <w:t>（申请学位实践成果）</w:t>
      </w:r>
      <w:r>
        <w:rPr>
          <w:color w:val="000000" w:themeColor="text1"/>
          <w:sz w:val="24"/>
          <w14:textFill>
            <w14:solidFill>
              <w14:schemeClr w14:val="tx1"/>
            </w14:solidFill>
          </w14:textFill>
        </w:rPr>
        <w:t>必须由研究生独立完成，时间</w:t>
      </w:r>
      <w:r>
        <w:rPr>
          <w:rFonts w:hint="eastAsia"/>
          <w:color w:val="000000" w:themeColor="text1"/>
          <w:sz w:val="24"/>
          <w14:textFill>
            <w14:solidFill>
              <w14:schemeClr w14:val="tx1"/>
            </w14:solidFill>
          </w14:textFill>
        </w:rPr>
        <w:t>一般为</w:t>
      </w:r>
      <w:r>
        <w:rPr>
          <w:color w:val="000000" w:themeColor="text1"/>
          <w:sz w:val="24"/>
          <w14:textFill>
            <w14:solidFill>
              <w14:schemeClr w14:val="tx1"/>
            </w14:solidFill>
          </w14:textFill>
        </w:rPr>
        <w:t>1年。</w:t>
      </w:r>
    </w:p>
    <w:p w14:paraId="67547739">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学位论文（申请学位实践成果）类型主要包括专题研究类论文、调研报告、案例分析报告、方案设计等形式，鼓励结合工程前沿技术研究、重大工程设计、新产品或新装置研制等进行撰写。其他形式的学位论文或申请学位实践成果，各院部可自行探索并制定相应标准。</w:t>
      </w:r>
    </w:p>
    <w:p w14:paraId="707DCD40">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（4）培养方案中须明确本专业学位论文与申请学位实践成果要求。</w:t>
      </w:r>
    </w:p>
    <w:p w14:paraId="644521AD">
      <w:pPr>
        <w:spacing w:line="360" w:lineRule="auto"/>
        <w:ind w:firstLine="480" w:firstLineChars="200"/>
        <w:rPr>
          <w:rFonts w:hint="eastAsia"/>
          <w:color w:val="000000" w:themeColor="text1"/>
          <w:sz w:val="24"/>
          <w:highlight w:val="yellow"/>
          <w14:textFill>
            <w14:solidFill>
              <w14:schemeClr w14:val="tx1"/>
            </w14:solidFill>
          </w14:textFill>
        </w:rPr>
      </w:pPr>
      <w:r>
        <w:rPr>
          <w:rFonts w:hint="eastAsia"/>
          <w:color w:val="000000" w:themeColor="text1"/>
          <w:sz w:val="24"/>
          <w:highlight w:val="yellow"/>
          <w14:textFill>
            <w14:solidFill>
              <w14:schemeClr w14:val="tx1"/>
            </w14:solidFill>
          </w14:textFill>
        </w:rPr>
        <w:t>（5）培养方案中须明确本专业</w:t>
      </w:r>
      <w:r>
        <w:rPr>
          <w:rFonts w:hint="eastAsia"/>
          <w:color w:val="000000" w:themeColor="text1"/>
          <w:sz w:val="24"/>
          <w:highlight w:val="yellow"/>
          <w:lang w:val="en-US" w:eastAsia="zh-CN"/>
          <w14:textFill>
            <w14:solidFill>
              <w14:schemeClr w14:val="tx1"/>
            </w14:solidFill>
          </w14:textFill>
        </w:rPr>
        <w:t>学位授予的</w:t>
      </w:r>
      <w:r>
        <w:rPr>
          <w:rFonts w:hint="eastAsia"/>
          <w:color w:val="000000" w:themeColor="text1"/>
          <w:sz w:val="24"/>
          <w:highlight w:val="yellow"/>
          <w14:textFill>
            <w14:solidFill>
              <w14:schemeClr w14:val="tx1"/>
            </w14:solidFill>
          </w14:textFill>
        </w:rPr>
        <w:t>成果要求。</w:t>
      </w:r>
    </w:p>
    <w:p w14:paraId="0925F5A4">
      <w:pPr>
        <w:spacing w:line="360" w:lineRule="auto"/>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7.其他</w:t>
      </w:r>
    </w:p>
    <w:p w14:paraId="6A19EE57">
      <w:pPr>
        <w:autoSpaceDE w:val="0"/>
        <w:autoSpaceDN w:val="0"/>
        <w:adjustRightInd w:val="0"/>
        <w:spacing w:line="360" w:lineRule="auto"/>
        <w:ind w:firstLine="482" w:firstLineChars="200"/>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w:t>
      </w:r>
      <w:r>
        <w:rPr>
          <w:b/>
          <w:bCs/>
          <w:color w:val="000000" w:themeColor="text1"/>
          <w:kern w:val="0"/>
          <w:sz w:val="24"/>
          <w14:textFill>
            <w14:solidFill>
              <w14:schemeClr w14:val="tx1"/>
            </w14:solidFill>
          </w14:textFill>
        </w:rPr>
        <w:t>1</w:t>
      </w:r>
      <w:r>
        <w:rPr>
          <w:rFonts w:hint="eastAsia"/>
          <w:b/>
          <w:bCs/>
          <w:color w:val="000000" w:themeColor="text1"/>
          <w:kern w:val="0"/>
          <w:sz w:val="24"/>
          <w14:textFill>
            <w14:solidFill>
              <w14:schemeClr w14:val="tx1"/>
            </w14:solidFill>
          </w14:textFill>
        </w:rPr>
        <w:t>）</w:t>
      </w:r>
      <w:r>
        <w:rPr>
          <w:b/>
          <w:bCs/>
          <w:color w:val="000000" w:themeColor="text1"/>
          <w:kern w:val="0"/>
          <w:sz w:val="24"/>
          <w14:textFill>
            <w14:solidFill>
              <w14:schemeClr w14:val="tx1"/>
            </w14:solidFill>
          </w14:textFill>
        </w:rPr>
        <w:t>培养计划的制定</w:t>
      </w:r>
    </w:p>
    <w:p w14:paraId="1077C9CC">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专业学位研究生应在入学后一个月内，在导师指导下根据本</w:t>
      </w:r>
      <w:r>
        <w:rPr>
          <w:rFonts w:hint="eastAsia"/>
          <w:color w:val="000000" w:themeColor="text1"/>
          <w:sz w:val="24"/>
          <w14:textFill>
            <w14:solidFill>
              <w14:schemeClr w14:val="tx1"/>
            </w14:solidFill>
          </w14:textFill>
        </w:rPr>
        <w:t>专业</w:t>
      </w:r>
      <w:r>
        <w:rPr>
          <w:color w:val="000000" w:themeColor="text1"/>
          <w:sz w:val="24"/>
          <w14:textFill>
            <w14:solidFill>
              <w14:schemeClr w14:val="tx1"/>
            </w14:solidFill>
          </w14:textFill>
        </w:rPr>
        <w:t>培养方案的要求和研究生本人的具体情况确定培养计划，经指导教师审核同意和</w:t>
      </w:r>
      <w:r>
        <w:rPr>
          <w:rFonts w:hint="eastAsia"/>
          <w:color w:val="000000" w:themeColor="text1"/>
          <w:sz w:val="24"/>
          <w14:textFill>
            <w14:solidFill>
              <w14:schemeClr w14:val="tx1"/>
            </w14:solidFill>
          </w14:textFill>
        </w:rPr>
        <w:t>学位评定分委员会主席</w:t>
      </w:r>
      <w:r>
        <w:rPr>
          <w:color w:val="000000" w:themeColor="text1"/>
          <w:sz w:val="24"/>
          <w14:textFill>
            <w14:solidFill>
              <w14:schemeClr w14:val="tx1"/>
            </w14:solidFill>
          </w14:textFill>
        </w:rPr>
        <w:t>签字后，要求一式四份，其中一份由研究生本人保管，一份导师保存，一份存二级</w:t>
      </w:r>
      <w:r>
        <w:rPr>
          <w:rFonts w:hint="eastAsia"/>
          <w:color w:val="000000" w:themeColor="text1"/>
          <w:sz w:val="24"/>
          <w14:textFill>
            <w14:solidFill>
              <w14:schemeClr w14:val="tx1"/>
            </w14:solidFill>
          </w14:textFill>
        </w:rPr>
        <w:t>院部</w:t>
      </w:r>
      <w:r>
        <w:rPr>
          <w:color w:val="000000" w:themeColor="text1"/>
          <w:sz w:val="24"/>
          <w14:textFill>
            <w14:solidFill>
              <w14:schemeClr w14:val="tx1"/>
            </w14:solidFill>
          </w14:textFill>
        </w:rPr>
        <w:t>存档，一份交研究生院备案。</w:t>
      </w:r>
    </w:p>
    <w:p w14:paraId="67C9525A">
      <w:pPr>
        <w:autoSpaceDE w:val="0"/>
        <w:autoSpaceDN w:val="0"/>
        <w:adjustRightInd w:val="0"/>
        <w:spacing w:line="360" w:lineRule="auto"/>
        <w:ind w:firstLine="482" w:firstLineChars="200"/>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w:t>
      </w:r>
      <w:r>
        <w:rPr>
          <w:b/>
          <w:bCs/>
          <w:color w:val="000000" w:themeColor="text1"/>
          <w:kern w:val="0"/>
          <w:sz w:val="24"/>
          <w14:textFill>
            <w14:solidFill>
              <w14:schemeClr w14:val="tx1"/>
            </w14:solidFill>
          </w14:textFill>
        </w:rPr>
        <w:t>2</w:t>
      </w:r>
      <w:r>
        <w:rPr>
          <w:rFonts w:hint="eastAsia"/>
          <w:b/>
          <w:bCs/>
          <w:color w:val="000000" w:themeColor="text1"/>
          <w:kern w:val="0"/>
          <w:sz w:val="24"/>
          <w14:textFill>
            <w14:solidFill>
              <w14:schemeClr w14:val="tx1"/>
            </w14:solidFill>
          </w14:textFill>
        </w:rPr>
        <w:t>）</w:t>
      </w:r>
      <w:r>
        <w:rPr>
          <w:b/>
          <w:bCs/>
          <w:color w:val="000000" w:themeColor="text1"/>
          <w:kern w:val="0"/>
          <w:sz w:val="24"/>
          <w14:textFill>
            <w14:solidFill>
              <w14:schemeClr w14:val="tx1"/>
            </w14:solidFill>
          </w14:textFill>
        </w:rPr>
        <w:t>毕业和授予学位标准</w:t>
      </w:r>
    </w:p>
    <w:p w14:paraId="0B52A76C">
      <w:pPr>
        <w:autoSpaceDE w:val="0"/>
        <w:autoSpaceDN w:val="0"/>
        <w:adjustRightInd w:val="0"/>
        <w:spacing w:line="360" w:lineRule="auto"/>
        <w:ind w:firstLine="470" w:firstLineChars="196"/>
        <w:rPr>
          <w:color w:val="000000" w:themeColor="text1"/>
          <w:sz w:val="24"/>
          <w14:textFill>
            <w14:solidFill>
              <w14:schemeClr w14:val="tx1"/>
            </w14:solidFill>
          </w14:textFill>
        </w:rPr>
      </w:pPr>
      <w:r>
        <w:rPr>
          <w:color w:val="000000" w:themeColor="text1"/>
          <w:sz w:val="24"/>
          <w14:textFill>
            <w14:solidFill>
              <w14:schemeClr w14:val="tx1"/>
            </w14:solidFill>
          </w14:textFill>
        </w:rPr>
        <w:t>修满规定学分</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满足</w:t>
      </w:r>
      <w:r>
        <w:rPr>
          <w:rFonts w:hint="eastAsia"/>
          <w:color w:val="000000" w:themeColor="text1"/>
          <w:sz w:val="24"/>
          <w14:textFill>
            <w14:solidFill>
              <w14:schemeClr w14:val="tx1"/>
            </w14:solidFill>
          </w14:textFill>
        </w:rPr>
        <w:t>学位申请创新</w:t>
      </w:r>
      <w:r>
        <w:rPr>
          <w:color w:val="000000" w:themeColor="text1"/>
          <w:sz w:val="24"/>
          <w14:textFill>
            <w14:solidFill>
              <w14:schemeClr w14:val="tx1"/>
            </w14:solidFill>
          </w14:textFill>
        </w:rPr>
        <w:t>成果要求</w:t>
      </w:r>
      <w:r>
        <w:rPr>
          <w:rFonts w:hint="eastAsia"/>
          <w:color w:val="000000" w:themeColor="text1"/>
          <w:sz w:val="24"/>
          <w14:textFill>
            <w14:solidFill>
              <w14:schemeClr w14:val="tx1"/>
            </w14:solidFill>
          </w14:textFill>
        </w:rPr>
        <w:t>，并通过</w:t>
      </w:r>
      <w:r>
        <w:rPr>
          <w:color w:val="000000" w:themeColor="text1"/>
          <w:sz w:val="24"/>
          <w14:textFill>
            <w14:solidFill>
              <w14:schemeClr w14:val="tx1"/>
            </w14:solidFill>
          </w14:textFill>
        </w:rPr>
        <w:t>学位论文答辩</w:t>
      </w:r>
      <w:r>
        <w:rPr>
          <w:rFonts w:hint="eastAsia"/>
          <w:color w:val="000000" w:themeColor="text1"/>
          <w:sz w:val="24"/>
          <w14:textFill>
            <w14:solidFill>
              <w14:schemeClr w14:val="tx1"/>
            </w14:solidFill>
          </w14:textFill>
        </w:rPr>
        <w:t>或规定的实践成果答辩</w:t>
      </w:r>
      <w:r>
        <w:rPr>
          <w:color w:val="000000" w:themeColor="text1"/>
          <w:sz w:val="24"/>
          <w14:textFill>
            <w14:solidFill>
              <w14:schemeClr w14:val="tx1"/>
            </w14:solidFill>
          </w14:textFill>
        </w:rPr>
        <w:t>者，经校学位评定委员会审核批准后，授予其相应</w:t>
      </w:r>
      <w:r>
        <w:rPr>
          <w:rFonts w:hint="eastAsia"/>
          <w:color w:val="000000" w:themeColor="text1"/>
          <w:sz w:val="24"/>
          <w14:textFill>
            <w14:solidFill>
              <w14:schemeClr w14:val="tx1"/>
            </w14:solidFill>
          </w14:textFill>
        </w:rPr>
        <w:t>硕士</w:t>
      </w:r>
      <w:r>
        <w:rPr>
          <w:color w:val="000000" w:themeColor="text1"/>
          <w:sz w:val="24"/>
          <w14:textFill>
            <w14:solidFill>
              <w14:schemeClr w14:val="tx1"/>
            </w14:solidFill>
          </w14:textFill>
        </w:rPr>
        <w:t>学位。毕业和授予学位标准按</w:t>
      </w:r>
      <w:r>
        <w:rPr>
          <w:rFonts w:hint="eastAsia"/>
          <w:color w:val="000000" w:themeColor="text1"/>
          <w:sz w:val="24"/>
          <w14:textFill>
            <w14:solidFill>
              <w14:schemeClr w14:val="tx1"/>
            </w14:solidFill>
          </w14:textFill>
        </w:rPr>
        <w:t>学校相关文件</w:t>
      </w:r>
      <w:r>
        <w:rPr>
          <w:color w:val="000000" w:themeColor="text1"/>
          <w:sz w:val="24"/>
          <w14:textFill>
            <w14:solidFill>
              <w14:schemeClr w14:val="tx1"/>
            </w14:solidFill>
          </w14:textFill>
        </w:rPr>
        <w:t>执行。</w:t>
      </w:r>
    </w:p>
    <w:p w14:paraId="74B757E3">
      <w:pPr>
        <w:widowControl/>
        <w:spacing w:before="156" w:beforeLines="50" w:after="156" w:afterLines="50" w:line="360" w:lineRule="auto"/>
        <w:jc w:val="left"/>
        <w:rPr>
          <w:rFonts w:ascii="宋体" w:hAnsi="宋体" w:cs="宋体"/>
          <w:b/>
          <w:bCs/>
          <w:color w:val="000000" w:themeColor="text1"/>
          <w:kern w:val="0"/>
          <w:sz w:val="24"/>
          <w:highlight w:val="yellow"/>
          <w:lang w:bidi="ar"/>
          <w14:textFill>
            <w14:solidFill>
              <w14:schemeClr w14:val="tx1"/>
            </w14:solidFill>
          </w14:textFill>
        </w:rPr>
      </w:pPr>
      <w:r>
        <w:rPr>
          <w:rFonts w:hint="eastAsia" w:ascii="宋体" w:hAnsi="宋体" w:cs="宋体"/>
          <w:b/>
          <w:bCs/>
          <w:color w:val="000000" w:themeColor="text1"/>
          <w:kern w:val="0"/>
          <w:sz w:val="24"/>
          <w:highlight w:val="yellow"/>
          <w:lang w:bidi="ar"/>
          <w14:textFill>
            <w14:solidFill>
              <w14:schemeClr w14:val="tx1"/>
            </w14:solidFill>
          </w14:textFill>
        </w:rPr>
        <w:t>（三）卓工院“1</w:t>
      </w:r>
      <w:r>
        <w:rPr>
          <w:rFonts w:ascii="宋体" w:hAnsi="宋体" w:cs="宋体"/>
          <w:b/>
          <w:bCs/>
          <w:color w:val="000000" w:themeColor="text1"/>
          <w:kern w:val="0"/>
          <w:sz w:val="24"/>
          <w:highlight w:val="yellow"/>
          <w:lang w:bidi="ar"/>
          <w14:textFill>
            <w14:solidFill>
              <w14:schemeClr w14:val="tx1"/>
            </w14:solidFill>
          </w14:textFill>
        </w:rPr>
        <w:t>+</w:t>
      </w:r>
      <w:r>
        <w:rPr>
          <w:rFonts w:hint="eastAsia" w:ascii="宋体" w:hAnsi="宋体" w:cs="宋体"/>
          <w:b/>
          <w:bCs/>
          <w:color w:val="000000" w:themeColor="text1"/>
          <w:kern w:val="0"/>
          <w:sz w:val="24"/>
          <w:highlight w:val="yellow"/>
          <w:lang w:bidi="ar"/>
          <w14:textFill>
            <w14:solidFill>
              <w14:schemeClr w14:val="tx1"/>
            </w14:solidFill>
          </w14:textFill>
        </w:rPr>
        <w:t>1”专班培养方案</w:t>
      </w:r>
    </w:p>
    <w:p w14:paraId="312E6E3B">
      <w:pPr>
        <w:autoSpaceDE w:val="0"/>
        <w:autoSpaceDN w:val="0"/>
        <w:adjustRightInd w:val="0"/>
        <w:spacing w:line="360" w:lineRule="auto"/>
        <w:ind w:firstLine="470" w:firstLineChars="196"/>
        <w:rPr>
          <w:color w:val="000000" w:themeColor="text1"/>
          <w:sz w:val="24"/>
          <w:highlight w:val="yellow"/>
          <w14:textFill>
            <w14:solidFill>
              <w14:schemeClr w14:val="tx1"/>
            </w14:solidFill>
          </w14:textFill>
        </w:rPr>
      </w:pPr>
      <w:r>
        <w:rPr>
          <w:rFonts w:hint="eastAsia"/>
          <w:color w:val="000000" w:themeColor="text1"/>
          <w:sz w:val="24"/>
          <w:highlight w:val="yellow"/>
          <w14:textFill>
            <w14:solidFill>
              <w14:schemeClr w14:val="tx1"/>
            </w14:solidFill>
          </w14:textFill>
        </w:rPr>
        <w:t>以卓越工程人才培养为牵引，深化专业学位研究生教育改革。卓越工程师学院“1</w:t>
      </w:r>
      <w:r>
        <w:rPr>
          <w:color w:val="000000" w:themeColor="text1"/>
          <w:sz w:val="24"/>
          <w:highlight w:val="yellow"/>
          <w14:textFill>
            <w14:solidFill>
              <w14:schemeClr w14:val="tx1"/>
            </w14:solidFill>
          </w14:textFill>
        </w:rPr>
        <w:t>+1</w:t>
      </w:r>
      <w:r>
        <w:rPr>
          <w:rFonts w:hint="eastAsia"/>
          <w:color w:val="000000" w:themeColor="text1"/>
          <w:sz w:val="24"/>
          <w:highlight w:val="yellow"/>
          <w14:textFill>
            <w14:solidFill>
              <w14:schemeClr w14:val="tx1"/>
            </w14:solidFill>
          </w14:textFill>
        </w:rPr>
        <w:t>”专班须统筹考虑相应院部同一类别（领域）培养方案，在学生培养质量、学位授予质量不降低的前提下，结合自身实际按类别/领域制定培养方案。</w:t>
      </w:r>
    </w:p>
    <w:p w14:paraId="1DF21C3F">
      <w:pPr>
        <w:autoSpaceDE w:val="0"/>
        <w:autoSpaceDN w:val="0"/>
        <w:adjustRightInd w:val="0"/>
        <w:spacing w:line="360" w:lineRule="auto"/>
        <w:ind w:firstLine="470" w:firstLineChars="196"/>
        <w:rPr>
          <w:color w:val="000000" w:themeColor="text1"/>
          <w:sz w:val="24"/>
          <w14:textFill>
            <w14:solidFill>
              <w14:schemeClr w14:val="tx1"/>
            </w14:solidFill>
          </w14:textFill>
        </w:rPr>
      </w:pPr>
    </w:p>
    <w:p w14:paraId="745301CB">
      <w:pPr>
        <w:autoSpaceDE w:val="0"/>
        <w:autoSpaceDN w:val="0"/>
        <w:adjustRightInd w:val="0"/>
        <w:spacing w:line="360" w:lineRule="auto"/>
        <w:ind w:firstLine="470" w:firstLineChars="196"/>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本指导意见由研究生院负责解释。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05431"/>
    <w:multiLevelType w:val="singleLevel"/>
    <w:tmpl w:val="90E05431"/>
    <w:lvl w:ilvl="0" w:tentative="0">
      <w:start w:val="2"/>
      <w:numFmt w:val="decimal"/>
      <w:suff w:val="nothing"/>
      <w:lvlText w:val="%1）"/>
      <w:lvlJc w:val="left"/>
    </w:lvl>
  </w:abstractNum>
  <w:abstractNum w:abstractNumId="1">
    <w:nsid w:val="3C3D4183"/>
    <w:multiLevelType w:val="singleLevel"/>
    <w:tmpl w:val="3C3D4183"/>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54F49"/>
    <w:rsid w:val="00004DA4"/>
    <w:rsid w:val="000061EF"/>
    <w:rsid w:val="00011537"/>
    <w:rsid w:val="00044BF8"/>
    <w:rsid w:val="000530BD"/>
    <w:rsid w:val="00066418"/>
    <w:rsid w:val="00084DA7"/>
    <w:rsid w:val="00091327"/>
    <w:rsid w:val="000D03A1"/>
    <w:rsid w:val="000D459D"/>
    <w:rsid w:val="000D7203"/>
    <w:rsid w:val="000E5523"/>
    <w:rsid w:val="000F358E"/>
    <w:rsid w:val="000F74D4"/>
    <w:rsid w:val="001122BA"/>
    <w:rsid w:val="001140DD"/>
    <w:rsid w:val="00125A0D"/>
    <w:rsid w:val="001447F0"/>
    <w:rsid w:val="00164504"/>
    <w:rsid w:val="00176F01"/>
    <w:rsid w:val="00184C7D"/>
    <w:rsid w:val="00192290"/>
    <w:rsid w:val="001F580C"/>
    <w:rsid w:val="00204332"/>
    <w:rsid w:val="00234BC1"/>
    <w:rsid w:val="00235F59"/>
    <w:rsid w:val="00236A4A"/>
    <w:rsid w:val="002562BC"/>
    <w:rsid w:val="00271252"/>
    <w:rsid w:val="002923C6"/>
    <w:rsid w:val="002A5A0E"/>
    <w:rsid w:val="002A7259"/>
    <w:rsid w:val="002B1867"/>
    <w:rsid w:val="002B4FDB"/>
    <w:rsid w:val="002F164C"/>
    <w:rsid w:val="00307B82"/>
    <w:rsid w:val="0033197B"/>
    <w:rsid w:val="00352841"/>
    <w:rsid w:val="003560D7"/>
    <w:rsid w:val="00390EAE"/>
    <w:rsid w:val="00393E00"/>
    <w:rsid w:val="00394ADD"/>
    <w:rsid w:val="003A1AE3"/>
    <w:rsid w:val="003A52D0"/>
    <w:rsid w:val="003B0C6D"/>
    <w:rsid w:val="003B18A2"/>
    <w:rsid w:val="003B5388"/>
    <w:rsid w:val="003E5C58"/>
    <w:rsid w:val="003F3149"/>
    <w:rsid w:val="00415C0A"/>
    <w:rsid w:val="00430263"/>
    <w:rsid w:val="00455720"/>
    <w:rsid w:val="00467800"/>
    <w:rsid w:val="0048256F"/>
    <w:rsid w:val="00482A26"/>
    <w:rsid w:val="004A1ED9"/>
    <w:rsid w:val="004B253E"/>
    <w:rsid w:val="004B33CC"/>
    <w:rsid w:val="004B428A"/>
    <w:rsid w:val="004D52DF"/>
    <w:rsid w:val="004D5C75"/>
    <w:rsid w:val="004E1A60"/>
    <w:rsid w:val="004E6DA8"/>
    <w:rsid w:val="00531B72"/>
    <w:rsid w:val="00546FF1"/>
    <w:rsid w:val="0055584D"/>
    <w:rsid w:val="00562978"/>
    <w:rsid w:val="00564DC9"/>
    <w:rsid w:val="00570830"/>
    <w:rsid w:val="005B2FD2"/>
    <w:rsid w:val="005B7ED6"/>
    <w:rsid w:val="005D35F0"/>
    <w:rsid w:val="005F4B23"/>
    <w:rsid w:val="00623B9B"/>
    <w:rsid w:val="0063280A"/>
    <w:rsid w:val="0065499B"/>
    <w:rsid w:val="006569EB"/>
    <w:rsid w:val="006D2EA4"/>
    <w:rsid w:val="006E1BF8"/>
    <w:rsid w:val="00701FB0"/>
    <w:rsid w:val="007056E8"/>
    <w:rsid w:val="00717594"/>
    <w:rsid w:val="007214B1"/>
    <w:rsid w:val="00722C5A"/>
    <w:rsid w:val="00725DDB"/>
    <w:rsid w:val="00735873"/>
    <w:rsid w:val="00764F88"/>
    <w:rsid w:val="007668D3"/>
    <w:rsid w:val="00774773"/>
    <w:rsid w:val="0078526D"/>
    <w:rsid w:val="0079708A"/>
    <w:rsid w:val="007C0407"/>
    <w:rsid w:val="007E0078"/>
    <w:rsid w:val="007F3E71"/>
    <w:rsid w:val="00810F7E"/>
    <w:rsid w:val="00815C65"/>
    <w:rsid w:val="00872EC1"/>
    <w:rsid w:val="00892C4A"/>
    <w:rsid w:val="00896FB0"/>
    <w:rsid w:val="008A5316"/>
    <w:rsid w:val="008A72A3"/>
    <w:rsid w:val="008B02DE"/>
    <w:rsid w:val="008D09B7"/>
    <w:rsid w:val="008D1635"/>
    <w:rsid w:val="008D6544"/>
    <w:rsid w:val="008E3551"/>
    <w:rsid w:val="00900E42"/>
    <w:rsid w:val="00956751"/>
    <w:rsid w:val="00971630"/>
    <w:rsid w:val="00990BF3"/>
    <w:rsid w:val="009C505A"/>
    <w:rsid w:val="009D106C"/>
    <w:rsid w:val="009E06CC"/>
    <w:rsid w:val="009E3F14"/>
    <w:rsid w:val="009F042B"/>
    <w:rsid w:val="00A15B98"/>
    <w:rsid w:val="00A2796F"/>
    <w:rsid w:val="00A327D5"/>
    <w:rsid w:val="00A338E5"/>
    <w:rsid w:val="00A34BEB"/>
    <w:rsid w:val="00A43C43"/>
    <w:rsid w:val="00A5152A"/>
    <w:rsid w:val="00A54AA2"/>
    <w:rsid w:val="00A55717"/>
    <w:rsid w:val="00A966D9"/>
    <w:rsid w:val="00AD0C68"/>
    <w:rsid w:val="00AE4CA7"/>
    <w:rsid w:val="00AF4EC2"/>
    <w:rsid w:val="00B22429"/>
    <w:rsid w:val="00B3128E"/>
    <w:rsid w:val="00B32F32"/>
    <w:rsid w:val="00B34947"/>
    <w:rsid w:val="00B66FB7"/>
    <w:rsid w:val="00B809DE"/>
    <w:rsid w:val="00B8308A"/>
    <w:rsid w:val="00B91AE7"/>
    <w:rsid w:val="00BA07E6"/>
    <w:rsid w:val="00BB6031"/>
    <w:rsid w:val="00BB6969"/>
    <w:rsid w:val="00BC0607"/>
    <w:rsid w:val="00BC66E5"/>
    <w:rsid w:val="00BD4CF1"/>
    <w:rsid w:val="00BD5E26"/>
    <w:rsid w:val="00BE194D"/>
    <w:rsid w:val="00C00616"/>
    <w:rsid w:val="00C16B56"/>
    <w:rsid w:val="00C2021A"/>
    <w:rsid w:val="00C23121"/>
    <w:rsid w:val="00C44E8F"/>
    <w:rsid w:val="00C466F9"/>
    <w:rsid w:val="00C5461E"/>
    <w:rsid w:val="00C6198F"/>
    <w:rsid w:val="00C67232"/>
    <w:rsid w:val="00CA251D"/>
    <w:rsid w:val="00CA4808"/>
    <w:rsid w:val="00CB549D"/>
    <w:rsid w:val="00CC4988"/>
    <w:rsid w:val="00CD3BB0"/>
    <w:rsid w:val="00CE12AF"/>
    <w:rsid w:val="00CF2BC7"/>
    <w:rsid w:val="00D31844"/>
    <w:rsid w:val="00D408DE"/>
    <w:rsid w:val="00D50E9D"/>
    <w:rsid w:val="00D53E91"/>
    <w:rsid w:val="00D60497"/>
    <w:rsid w:val="00DA5DC0"/>
    <w:rsid w:val="00DA7A4E"/>
    <w:rsid w:val="00DE2913"/>
    <w:rsid w:val="00DF290A"/>
    <w:rsid w:val="00DF7068"/>
    <w:rsid w:val="00E0164E"/>
    <w:rsid w:val="00E028D8"/>
    <w:rsid w:val="00E34C08"/>
    <w:rsid w:val="00E44F61"/>
    <w:rsid w:val="00E4560D"/>
    <w:rsid w:val="00E66248"/>
    <w:rsid w:val="00E91B20"/>
    <w:rsid w:val="00EB3F5C"/>
    <w:rsid w:val="00EC336D"/>
    <w:rsid w:val="00EC6C51"/>
    <w:rsid w:val="00ED2BC3"/>
    <w:rsid w:val="00EE5CF5"/>
    <w:rsid w:val="00F0261D"/>
    <w:rsid w:val="00F707F4"/>
    <w:rsid w:val="00F767EE"/>
    <w:rsid w:val="00F85940"/>
    <w:rsid w:val="00F915E4"/>
    <w:rsid w:val="00FA671D"/>
    <w:rsid w:val="00FB3205"/>
    <w:rsid w:val="00FC0BB1"/>
    <w:rsid w:val="00FF6411"/>
    <w:rsid w:val="01787946"/>
    <w:rsid w:val="02810A7C"/>
    <w:rsid w:val="03AF33C7"/>
    <w:rsid w:val="067803E8"/>
    <w:rsid w:val="06B34F7C"/>
    <w:rsid w:val="06F86E33"/>
    <w:rsid w:val="076D15CF"/>
    <w:rsid w:val="09D516AE"/>
    <w:rsid w:val="0A5B3CD2"/>
    <w:rsid w:val="0B0C10FF"/>
    <w:rsid w:val="0B5F5575"/>
    <w:rsid w:val="0B6B4FB8"/>
    <w:rsid w:val="0C1939C9"/>
    <w:rsid w:val="0CB657C6"/>
    <w:rsid w:val="0DD34156"/>
    <w:rsid w:val="0E653000"/>
    <w:rsid w:val="0EF5379F"/>
    <w:rsid w:val="0FA638D0"/>
    <w:rsid w:val="109B71AD"/>
    <w:rsid w:val="111725AC"/>
    <w:rsid w:val="122B4561"/>
    <w:rsid w:val="14627FE2"/>
    <w:rsid w:val="14972381"/>
    <w:rsid w:val="15E50ECA"/>
    <w:rsid w:val="1887527E"/>
    <w:rsid w:val="19AA220F"/>
    <w:rsid w:val="1B027F11"/>
    <w:rsid w:val="1C9176B6"/>
    <w:rsid w:val="1F0B19A2"/>
    <w:rsid w:val="206B1AB6"/>
    <w:rsid w:val="212925B3"/>
    <w:rsid w:val="23D305B4"/>
    <w:rsid w:val="243F3E9B"/>
    <w:rsid w:val="26321F0A"/>
    <w:rsid w:val="26F87DD8"/>
    <w:rsid w:val="272F6449"/>
    <w:rsid w:val="27AB3140"/>
    <w:rsid w:val="294F211B"/>
    <w:rsid w:val="2A1D4C7F"/>
    <w:rsid w:val="2B000215"/>
    <w:rsid w:val="2DA2174D"/>
    <w:rsid w:val="2DA90161"/>
    <w:rsid w:val="2E3841BA"/>
    <w:rsid w:val="2E6E02D1"/>
    <w:rsid w:val="2F6649D2"/>
    <w:rsid w:val="31055B72"/>
    <w:rsid w:val="324A67CF"/>
    <w:rsid w:val="32C1089D"/>
    <w:rsid w:val="33D5736C"/>
    <w:rsid w:val="342057B8"/>
    <w:rsid w:val="358B19A4"/>
    <w:rsid w:val="37E02AB9"/>
    <w:rsid w:val="3A7D7122"/>
    <w:rsid w:val="3C641422"/>
    <w:rsid w:val="3CFB12A3"/>
    <w:rsid w:val="3D0F48FB"/>
    <w:rsid w:val="3EFF3389"/>
    <w:rsid w:val="3F5B15D7"/>
    <w:rsid w:val="40754F49"/>
    <w:rsid w:val="407C4056"/>
    <w:rsid w:val="411E04AF"/>
    <w:rsid w:val="424726D6"/>
    <w:rsid w:val="428E40E4"/>
    <w:rsid w:val="4308172C"/>
    <w:rsid w:val="439A3786"/>
    <w:rsid w:val="444255B6"/>
    <w:rsid w:val="4506625F"/>
    <w:rsid w:val="457050EE"/>
    <w:rsid w:val="47FF254F"/>
    <w:rsid w:val="487D75B3"/>
    <w:rsid w:val="48C447EC"/>
    <w:rsid w:val="48F15255"/>
    <w:rsid w:val="49270534"/>
    <w:rsid w:val="4BC114B6"/>
    <w:rsid w:val="4BC36D77"/>
    <w:rsid w:val="4CA706AC"/>
    <w:rsid w:val="4CF65190"/>
    <w:rsid w:val="4D473879"/>
    <w:rsid w:val="4DA06E58"/>
    <w:rsid w:val="4F3C38DE"/>
    <w:rsid w:val="4FCB386C"/>
    <w:rsid w:val="51256043"/>
    <w:rsid w:val="527541D7"/>
    <w:rsid w:val="5332099B"/>
    <w:rsid w:val="54B83E6A"/>
    <w:rsid w:val="54D558E9"/>
    <w:rsid w:val="576C0528"/>
    <w:rsid w:val="58032243"/>
    <w:rsid w:val="583E0CB1"/>
    <w:rsid w:val="583F79EB"/>
    <w:rsid w:val="59924B7C"/>
    <w:rsid w:val="5A263E89"/>
    <w:rsid w:val="6143039D"/>
    <w:rsid w:val="61A47C75"/>
    <w:rsid w:val="6416019A"/>
    <w:rsid w:val="6456073D"/>
    <w:rsid w:val="64862FB7"/>
    <w:rsid w:val="64C71494"/>
    <w:rsid w:val="660B53B0"/>
    <w:rsid w:val="661F2C0A"/>
    <w:rsid w:val="67267535"/>
    <w:rsid w:val="67562897"/>
    <w:rsid w:val="6A244C92"/>
    <w:rsid w:val="6B1B3DAE"/>
    <w:rsid w:val="6DD30EA9"/>
    <w:rsid w:val="6E291CCC"/>
    <w:rsid w:val="6EB05B51"/>
    <w:rsid w:val="6EBC5FFB"/>
    <w:rsid w:val="6FEF2B7A"/>
    <w:rsid w:val="72DE6B74"/>
    <w:rsid w:val="74393A30"/>
    <w:rsid w:val="75AB44BA"/>
    <w:rsid w:val="79D51B05"/>
    <w:rsid w:val="79D55ECC"/>
    <w:rsid w:val="7A5520F1"/>
    <w:rsid w:val="7C4A5D78"/>
    <w:rsid w:val="7C887303"/>
    <w:rsid w:val="7CE64029"/>
    <w:rsid w:val="7D780418"/>
    <w:rsid w:val="7EB81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paragraph" w:customStyle="1" w:styleId="8">
    <w:name w:val="表格"/>
    <w:basedOn w:val="1"/>
    <w:qFormat/>
    <w:uiPriority w:val="0"/>
    <w:pPr>
      <w:spacing w:line="276" w:lineRule="auto"/>
      <w:jc w:val="center"/>
    </w:pPr>
    <w:rPr>
      <w:szCs w:val="21"/>
    </w:rPr>
  </w:style>
  <w:style w:type="paragraph" w:customStyle="1" w:styleId="9">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B2210-0A34-4D78-A7B7-A7CED9F8B2B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7759</Words>
  <Characters>8199</Characters>
  <Lines>63</Lines>
  <Paragraphs>17</Paragraphs>
  <TotalTime>1</TotalTime>
  <ScaleCrop>false</ScaleCrop>
  <LinksUpToDate>false</LinksUpToDate>
  <CharactersWithSpaces>8227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2026-04-26T07:47:00Z</dcterms:created>
  <dc:creator>Easy～</dc:creator>
  <cp:lastModifiedBy>FF</cp:lastModifiedBy>
  <cp:lastPrinted>2025-05-15T08:37:00Z</cp:lastPrinted>
  <dcterms:modified xsi:type="dcterms:W3CDTF">2026-05-09T05:18:47Z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788F8958687F455CA00D35E3CE69BDCF_11</vt:lpwstr>
  </property>
  <property fmtid="{D5CDD505-2E9C-101B-9397-08002B2CF9AE}" pid="4" name="KSOTemplateDocerSaveRecord">
    <vt:lpwstr>eyJoZGlkIjoiMmY3OTA1Y2ZkODAyMmQ2M2MzOGJiNjkzNzVkM2I2NjIiLCJ1c2VySWQiOiI0OTIyMTE0MTQifQ==</vt:lpwstr>
  </property>
</Properties>
</file>