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  <w:bookmarkStart w:id="0" w:name="_GoBack"/>
      <w:bookmarkEnd w:id="0"/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“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常春藤</w:t>
      </w: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”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哥伦比亚大学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（</w:t>
      </w:r>
      <w:r>
        <w:rPr>
          <w:rFonts w:hint="eastAsia" w:asciiTheme="minorHAnsi" w:hAnsiTheme="minorHAnsi" w:eastAsiaTheme="majorEastAsia" w:cstheme="minorHAnsi"/>
          <w:kern w:val="0"/>
          <w:szCs w:val="21"/>
          <w:lang w:val="de-DE" w:eastAsia="zh-CN"/>
        </w:rPr>
        <w:t>学分课程</w:t>
      </w:r>
      <w:r>
        <w:rPr>
          <w:rFonts w:asciiTheme="minorHAnsi" w:hAnsiTheme="minorHAnsi" w:eastAsiaTheme="majorEastAsia" w:cstheme="minorHAnsi"/>
          <w:kern w:val="0"/>
          <w:szCs w:val="21"/>
        </w:rPr>
        <w:t>）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1、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哥伦比亚大学简介</w:t>
      </w:r>
    </w:p>
    <w:p>
      <w:pPr>
        <w:widowControl/>
        <w:spacing w:line="360" w:lineRule="auto"/>
        <w:ind w:left="1" w:firstLine="419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asciiTheme="minorHAnsi" w:hAnsiTheme="minorHAnsi" w:cstheme="minorHAnsi"/>
          <w:kern w:val="0"/>
          <w:szCs w:val="21"/>
        </w:rPr>
        <w:t>哥伦比亚大学</w:t>
      </w:r>
      <w:r>
        <w:rPr>
          <w:rFonts w:hint="eastAsia" w:asciiTheme="minorHAnsi" w:hAnsiTheme="minorHAnsi" w:cstheme="minorHAnsi"/>
          <w:kern w:val="0"/>
          <w:szCs w:val="21"/>
        </w:rPr>
        <w:t>美国历史最悠久的五所大学之一，与耶鲁、哈佛、普林斯顿、康乃尔等八所大学共同组成“常春藤联盟(Ivy League)”，成为世界顶尖学府的代名词。</w:t>
      </w:r>
      <w:r>
        <w:rPr>
          <w:rFonts w:asciiTheme="minorHAnsi" w:hAnsiTheme="minorHAnsi" w:cstheme="minorHAnsi"/>
          <w:kern w:val="0"/>
          <w:szCs w:val="21"/>
        </w:rPr>
        <w:t></w:t>
      </w:r>
      <w:r>
        <w:rPr>
          <w:rFonts w:asciiTheme="minorHAnsi" w:hAnsiTheme="minorHAnsi" w:cstheme="minorHAnsi"/>
          <w:kern w:val="0"/>
          <w:szCs w:val="21"/>
        </w:rPr>
        <w:tab/>
      </w:r>
      <w:r>
        <w:rPr>
          <w:rFonts w:hint="eastAsia" w:asciiTheme="minorHAnsi" w:hAnsiTheme="minorHAnsi" w:cstheme="minorHAnsi"/>
          <w:kern w:val="0"/>
          <w:szCs w:val="21"/>
        </w:rPr>
        <w:t>学校位于世界之都</w:t>
      </w:r>
      <w:r>
        <w:rPr>
          <w:rFonts w:asciiTheme="minorHAnsi" w:hAnsiTheme="minorHAnsi" w:cstheme="minorHAnsi"/>
          <w:kern w:val="0"/>
          <w:szCs w:val="21"/>
        </w:rPr>
        <w:t>--</w:t>
      </w:r>
      <w:r>
        <w:rPr>
          <w:rFonts w:hint="eastAsia" w:asciiTheme="minorHAnsi" w:hAnsiTheme="minorHAnsi" w:cstheme="minorHAnsi"/>
          <w:kern w:val="0"/>
          <w:szCs w:val="21"/>
        </w:rPr>
        <w:t>纽约曼哈顿，亦是奥巴马、胡适、徐志摩、李政道、蒙代尔、摩尔根等名人求学之地</w:t>
      </w:r>
      <w:r>
        <w:rPr>
          <w:rFonts w:asciiTheme="minorHAnsi" w:hAnsiTheme="minorHAnsi" w:cstheme="minorHAnsi"/>
          <w:kern w:val="0"/>
          <w:szCs w:val="21"/>
        </w:rPr>
        <w:t>。</w:t>
      </w:r>
      <w:r>
        <w:rPr>
          <w:rFonts w:hint="eastAsia" w:asciiTheme="minorHAnsi" w:hAnsiTheme="minorHAnsi" w:cstheme="minorHAnsi"/>
          <w:kern w:val="0"/>
          <w:szCs w:val="21"/>
        </w:rPr>
        <w:t>哥伦比亚的校友和教授中一共有83人获得过诺贝尔奖，包括奥巴马总统在内的三位美国总统是该校的毕业生。</w:t>
      </w:r>
    </w:p>
    <w:p>
      <w:pPr>
        <w:spacing w:line="360" w:lineRule="auto"/>
        <w:ind w:left="420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在201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年</w:t>
      </w:r>
      <w:r>
        <w:rPr>
          <w:rFonts w:asciiTheme="minorHAnsi" w:hAnsiTheme="minorHAnsi" w:cstheme="minorHAnsi"/>
          <w:kern w:val="0"/>
          <w:szCs w:val="21"/>
        </w:rPr>
        <w:t>《美国新闻与世界报道》发布的美国大学权威排名中，</w:t>
      </w:r>
      <w:r>
        <w:rPr>
          <w:rFonts w:asciiTheme="minorHAnsi" w:hAnsiTheme="minorHAnsi" w:eastAsiaTheme="majorEastAsia" w:cstheme="minorHAnsi"/>
          <w:szCs w:val="21"/>
        </w:rPr>
        <w:t>哥伦比亚大学在全美</w:t>
      </w:r>
    </w:p>
    <w:p>
      <w:pPr>
        <w:spacing w:line="360" w:lineRule="auto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4000多所高校综合排名第</w:t>
      </w:r>
      <w:r>
        <w:rPr>
          <w:rFonts w:hint="eastAsia" w:asciiTheme="minorHAnsi" w:hAnsiTheme="minorHAnsi" w:eastAsiaTheme="majorEastAsia" w:cstheme="minorHAnsi"/>
          <w:szCs w:val="21"/>
        </w:rPr>
        <w:t>5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上海交通大学发布的</w:t>
      </w:r>
      <w:r>
        <w:rPr>
          <w:rFonts w:asciiTheme="minorHAnsi" w:hAnsiTheme="minorHAnsi" w:eastAsiaTheme="majorEastAsia" w:cstheme="minorHAnsi"/>
          <w:szCs w:val="21"/>
        </w:rPr>
        <w:t>全球高校学术排名中，</w:t>
      </w:r>
      <w:r>
        <w:rPr>
          <w:rFonts w:hint="eastAsia" w:asciiTheme="minorHAnsi" w:hAnsiTheme="minorHAnsi" w:eastAsiaTheme="majorEastAsia" w:cstheme="minorHAnsi"/>
          <w:szCs w:val="21"/>
        </w:rPr>
        <w:t>哥伦比亚大学</w:t>
      </w:r>
      <w:r>
        <w:rPr>
          <w:rFonts w:asciiTheme="minorHAnsi" w:hAnsiTheme="minorHAnsi" w:eastAsiaTheme="majorEastAsia" w:cstheme="minorHAnsi"/>
          <w:szCs w:val="21"/>
        </w:rPr>
        <w:t>位于第</w:t>
      </w:r>
      <w:r>
        <w:rPr>
          <w:rFonts w:hint="eastAsia" w:asciiTheme="minorHAnsi" w:hAnsiTheme="minorHAnsi" w:eastAsiaTheme="majorEastAsia" w:cstheme="minorHAnsi"/>
          <w:szCs w:val="21"/>
        </w:rPr>
        <w:t>8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201</w:t>
      </w:r>
      <w:r>
        <w:rPr>
          <w:rFonts w:hint="eastAsia" w:asciiTheme="minorHAnsi" w:hAnsiTheme="minorHAnsi" w:cstheme="minorHAnsi"/>
          <w:szCs w:val="21"/>
        </w:rPr>
        <w:t>7年</w:t>
      </w:r>
      <w:r>
        <w:rPr>
          <w:rFonts w:asciiTheme="minorHAnsi" w:hAnsiTheme="minorHAnsi" w:cstheme="minorHAnsi"/>
          <w:szCs w:val="21"/>
        </w:rPr>
        <w:t>Times世界大学排名中，</w:t>
      </w:r>
      <w:r>
        <w:rPr>
          <w:rFonts w:hint="eastAsia" w:asciiTheme="minorHAnsi" w:hAnsiTheme="minorHAnsi" w:cstheme="minorHAnsi"/>
          <w:szCs w:val="21"/>
        </w:rPr>
        <w:t>哥伦比亚大学</w:t>
      </w:r>
      <w:r>
        <w:rPr>
          <w:rFonts w:asciiTheme="minorHAnsi" w:hAnsiTheme="minorHAnsi" w:cstheme="minorHAnsi"/>
          <w:szCs w:val="21"/>
        </w:rPr>
        <w:t>位列第</w:t>
      </w:r>
      <w:r>
        <w:rPr>
          <w:rFonts w:asciiTheme="minorHAnsi" w:hAnsiTheme="minorHAnsi" w:eastAsiaTheme="majorEastAsia" w:cstheme="minorHAnsi"/>
          <w:szCs w:val="21"/>
        </w:rPr>
        <w:t>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位。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2、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</w:t>
      </w:r>
      <w:r>
        <w:rPr>
          <w:rFonts w:hint="eastAsia" w:asciiTheme="minorHAnsi" w:hAnsiTheme="minorHAnsi" w:eastAsiaTheme="majorEastAsia" w:cstheme="minorHAnsi"/>
          <w:b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b/>
          <w:szCs w:val="21"/>
        </w:rPr>
        <w:t>时间及专业方向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2017年秋季</w:t>
      </w:r>
      <w:r>
        <w:rPr>
          <w:rFonts w:hint="eastAsia" w:asciiTheme="minorHAnsi" w:hAnsiTheme="minorHAnsi" w:eastAsiaTheme="majorEastAsia" w:cstheme="minorHAnsi"/>
          <w:szCs w:val="21"/>
          <w:lang w:val="de-DE"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>时间为：</w:t>
      </w:r>
      <w:r>
        <w:rPr>
          <w:rFonts w:hint="eastAsia" w:asciiTheme="minorHAnsi" w:hAnsiTheme="minorHAnsi" w:eastAsiaTheme="majorEastAsia" w:cstheme="minorHAnsi"/>
          <w:b/>
          <w:szCs w:val="21"/>
        </w:rPr>
        <w:t xml:space="preserve">2017年9月5日 </w:t>
      </w:r>
      <w:r>
        <w:rPr>
          <w:rFonts w:asciiTheme="minorHAnsi" w:hAnsiTheme="minorHAnsi" w:eastAsiaTheme="majorEastAsia" w:cstheme="minorHAnsi"/>
          <w:b/>
          <w:szCs w:val="21"/>
        </w:rPr>
        <w:t>–</w:t>
      </w:r>
      <w:r>
        <w:rPr>
          <w:rFonts w:hint="eastAsia" w:asciiTheme="minorHAnsi" w:hAnsiTheme="minorHAnsi" w:eastAsiaTheme="majorEastAsia" w:cstheme="minorHAnsi"/>
          <w:b/>
          <w:szCs w:val="21"/>
        </w:rPr>
        <w:t xml:space="preserve"> 12月22日</w:t>
      </w:r>
      <w:r>
        <w:rPr>
          <w:rFonts w:hint="eastAsia" w:asciiTheme="minorHAnsi" w:hAnsiTheme="minorHAnsi" w:eastAsiaTheme="majorEastAsia" w:cstheme="minorHAnsi"/>
          <w:szCs w:val="21"/>
        </w:rPr>
        <w:t>。参加项目的学生可选报大学专业学分课程，与哥伦比亚大学在读学生混合编班，由哥伦比亚大学进行统一的学术管理与学术考核，获得哥伦比亚大学正式成绩单。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英文</w:t>
      </w:r>
      <w:r>
        <w:rPr>
          <w:rFonts w:hint="eastAsia" w:asciiTheme="minorHAnsi" w:hAnsiTheme="minorHAnsi" w:eastAsiaTheme="majorEastAsia" w:cstheme="minorHAnsi"/>
          <w:szCs w:val="21"/>
        </w:rPr>
        <w:t>标准化考试成绩达到项目要求</w:t>
      </w:r>
      <w:r>
        <w:rPr>
          <w:rFonts w:asciiTheme="minorHAnsi" w:hAnsiTheme="minorHAnsi" w:eastAsiaTheme="majorEastAsia" w:cstheme="minorHAnsi"/>
          <w:szCs w:val="21"/>
        </w:rPr>
        <w:t>并希望提高专业水平的同学，通过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</w:t>
      </w:r>
      <w:r>
        <w:rPr>
          <w:rFonts w:hint="eastAsia" w:asciiTheme="minorHAnsi" w:hAnsiTheme="minorHAnsi" w:eastAsiaTheme="majorEastAsia" w:cstheme="minorHAnsi"/>
          <w:szCs w:val="21"/>
        </w:rPr>
        <w:t>校、全美国际教育协会、以及哥伦比亚大学的共同</w:t>
      </w:r>
      <w:r>
        <w:rPr>
          <w:rFonts w:asciiTheme="minorHAnsi" w:hAnsiTheme="minorHAnsi" w:eastAsiaTheme="majorEastAsia" w:cstheme="minorHAnsi"/>
          <w:szCs w:val="21"/>
        </w:rPr>
        <w:t>选拔后，</w:t>
      </w:r>
      <w:r>
        <w:rPr>
          <w:rFonts w:hint="eastAsia" w:asciiTheme="minorHAnsi" w:hAnsiTheme="minorHAnsi" w:eastAsiaTheme="majorEastAsia" w:cstheme="minorHAnsi"/>
          <w:szCs w:val="21"/>
        </w:rPr>
        <w:t>可以与哥伦比亚大学</w:t>
      </w:r>
      <w:r>
        <w:rPr>
          <w:rFonts w:asciiTheme="minorHAnsi" w:hAnsiTheme="minorHAnsi" w:eastAsiaTheme="majorEastAsia" w:cstheme="minorHAnsi"/>
          <w:szCs w:val="21"/>
        </w:rPr>
        <w:t>本科学生一起学习</w:t>
      </w:r>
      <w:r>
        <w:rPr>
          <w:rFonts w:hint="eastAsia" w:asciiTheme="minorHAnsi" w:hAnsiTheme="minorHAnsi" w:eastAsiaTheme="majorEastAsia" w:cstheme="minorHAnsi"/>
          <w:szCs w:val="21"/>
        </w:rPr>
        <w:t>与本专业相关的</w:t>
      </w:r>
      <w:r>
        <w:rPr>
          <w:rFonts w:asciiTheme="minorHAnsi" w:hAnsiTheme="minorHAnsi" w:eastAsiaTheme="majorEastAsia" w:cstheme="minorHAnsi"/>
          <w:szCs w:val="21"/>
        </w:rPr>
        <w:t>学分课程</w:t>
      </w:r>
      <w:r>
        <w:rPr>
          <w:rFonts w:hint="eastAsia" w:asciiTheme="minorHAnsi" w:hAnsiTheme="minorHAnsi" w:eastAsiaTheme="majorEastAsia" w:cstheme="minorHAnsi"/>
          <w:szCs w:val="21"/>
        </w:rPr>
        <w:t>，符合学术条件的学生也可选修研究生课程。大学学分课程面向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hint="eastAsia" w:asciiTheme="minorHAnsi" w:hAnsiTheme="minorHAnsi" w:eastAsiaTheme="majorEastAsia" w:cstheme="minorHAnsi"/>
          <w:szCs w:val="21"/>
        </w:rPr>
        <w:t>大多数专业的学生，</w:t>
      </w:r>
      <w:r>
        <w:rPr>
          <w:rFonts w:asciiTheme="minorHAnsi" w:hAnsiTheme="minorHAnsi" w:eastAsiaTheme="majorEastAsia" w:cstheme="minorHAnsi"/>
          <w:szCs w:val="21"/>
        </w:rPr>
        <w:t>顺利完成</w:t>
      </w:r>
      <w:r>
        <w:rPr>
          <w:rFonts w:hint="eastAsia" w:asciiTheme="minorHAnsi" w:hAnsiTheme="minorHAnsi" w:eastAsiaTheme="majorEastAsia" w:cstheme="minorHAnsi"/>
          <w:szCs w:val="21"/>
        </w:rPr>
        <w:t>学业后，</w:t>
      </w:r>
      <w:r>
        <w:rPr>
          <w:rFonts w:asciiTheme="minorHAnsi" w:hAnsiTheme="minorHAnsi" w:eastAsiaTheme="majorEastAsia" w:cstheme="minorHAnsi"/>
          <w:szCs w:val="21"/>
        </w:rPr>
        <w:t>获得哥伦比亚大学</w:t>
      </w:r>
      <w:r>
        <w:rPr>
          <w:rFonts w:hint="eastAsia" w:asciiTheme="minorHAnsi" w:hAnsiTheme="minorHAnsi" w:eastAsiaTheme="majorEastAsia" w:cstheme="minorHAnsi"/>
          <w:szCs w:val="21"/>
        </w:rPr>
        <w:t>的正式学分和</w:t>
      </w:r>
      <w:r>
        <w:rPr>
          <w:rFonts w:asciiTheme="minorHAnsi" w:hAnsiTheme="minorHAnsi" w:eastAsiaTheme="majorEastAsia" w:cstheme="minorHAnsi"/>
          <w:szCs w:val="21"/>
        </w:rPr>
        <w:t>成绩单。经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asciiTheme="minorHAnsi" w:hAnsiTheme="minorHAnsi" w:eastAsiaTheme="majorEastAsia" w:cstheme="minorHAnsi"/>
          <w:szCs w:val="21"/>
        </w:rPr>
        <w:t>教务处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或研究生院</w:t>
      </w:r>
      <w:r>
        <w:rPr>
          <w:rFonts w:hint="eastAsia" w:asciiTheme="minorHAnsi" w:hAnsiTheme="minorHAnsi" w:eastAsiaTheme="majorEastAsia" w:cstheme="minorHAnsi"/>
          <w:szCs w:val="21"/>
        </w:rPr>
        <w:t>评估</w:t>
      </w:r>
      <w:r>
        <w:rPr>
          <w:rFonts w:asciiTheme="minorHAnsi" w:hAnsiTheme="minorHAnsi" w:eastAsiaTheme="majorEastAsia" w:cstheme="minorHAnsi"/>
          <w:szCs w:val="21"/>
        </w:rPr>
        <w:t>认可的学分可转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换</w:t>
      </w:r>
      <w:r>
        <w:rPr>
          <w:rFonts w:asciiTheme="minorHAnsi" w:hAnsiTheme="minorHAnsi" w:eastAsiaTheme="majorEastAsia" w:cstheme="minorHAnsi"/>
          <w:szCs w:val="21"/>
        </w:rPr>
        <w:t>为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asciiTheme="minorHAnsi" w:hAnsiTheme="minorHAnsi" w:eastAsiaTheme="majorEastAsia" w:cstheme="minorHAnsi"/>
          <w:szCs w:val="21"/>
        </w:rPr>
        <w:t>学分。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3、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项目</w:t>
      </w: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费用</w:t>
      </w:r>
      <w:r>
        <w:rPr>
          <w:rFonts w:hint="eastAsia" w:asciiTheme="minorHAnsi" w:hAnsiTheme="minorHAnsi" w:eastAsiaTheme="majorEastAsia" w:cstheme="minorHAnsi"/>
          <w:bCs/>
          <w:kern w:val="0"/>
          <w:szCs w:val="21"/>
        </w:rPr>
        <w:t>（参照2016年费用标准，最终以哥伦比亚大学公布的2017年数额为准）</w:t>
      </w:r>
    </w:p>
    <w:p>
      <w:pPr>
        <w:spacing w:line="360" w:lineRule="auto"/>
        <w:ind w:firstLine="420" w:firstLineChars="200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哥伦比亚大学专业学分课程一个学期的总费用约28,700美元（约合人民币198,000元）。总费用包括学杂费、在读期间医疗保险、及项目设计与管理费，不含住宿费、生活费与机票。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住宿费及生活费共计约</w:t>
      </w:r>
      <w:r>
        <w:rPr>
          <w:rFonts w:hint="eastAsia" w:asciiTheme="minorHAnsi" w:hAnsiTheme="minorHAnsi" w:eastAsiaTheme="majorEastAsia" w:cstheme="minorHAnsi"/>
          <w:szCs w:val="21"/>
          <w:lang w:val="en-US" w:eastAsia="zh-CN"/>
        </w:rPr>
        <w:t>2200美元/月。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sectPr>
      <w:headerReference r:id="rId3" w:type="default"/>
      <w:pgSz w:w="11906" w:h="16838"/>
      <w:pgMar w:top="2025" w:right="1800" w:bottom="1440" w:left="1800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atLeast"/>
      <w:ind w:right="-336" w:rightChars="-160"/>
      <w:rPr>
        <w:rFonts w:ascii="微软雅黑" w:hAnsi="微软雅黑" w:eastAsia="微软雅黑"/>
        <w:sz w:val="30"/>
        <w:szCs w:val="30"/>
        <w:lang w:val="en-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A8F"/>
    <w:rsid w:val="000035D7"/>
    <w:rsid w:val="00010F31"/>
    <w:rsid w:val="000169DD"/>
    <w:rsid w:val="00022AFD"/>
    <w:rsid w:val="000230BD"/>
    <w:rsid w:val="00023476"/>
    <w:rsid w:val="000236D2"/>
    <w:rsid w:val="00024C64"/>
    <w:rsid w:val="00025206"/>
    <w:rsid w:val="0003068E"/>
    <w:rsid w:val="00030A02"/>
    <w:rsid w:val="00031403"/>
    <w:rsid w:val="000362BD"/>
    <w:rsid w:val="000402B0"/>
    <w:rsid w:val="00041148"/>
    <w:rsid w:val="00041BDA"/>
    <w:rsid w:val="00046229"/>
    <w:rsid w:val="000519A2"/>
    <w:rsid w:val="0005389A"/>
    <w:rsid w:val="0006181E"/>
    <w:rsid w:val="00065242"/>
    <w:rsid w:val="00080EB3"/>
    <w:rsid w:val="000820F9"/>
    <w:rsid w:val="0009206E"/>
    <w:rsid w:val="000954F4"/>
    <w:rsid w:val="000A0A86"/>
    <w:rsid w:val="000A2A22"/>
    <w:rsid w:val="000A4030"/>
    <w:rsid w:val="000A5251"/>
    <w:rsid w:val="000B1A29"/>
    <w:rsid w:val="000C0290"/>
    <w:rsid w:val="000C2F7C"/>
    <w:rsid w:val="000C3F5B"/>
    <w:rsid w:val="000C4E56"/>
    <w:rsid w:val="000C5C18"/>
    <w:rsid w:val="000C7F9A"/>
    <w:rsid w:val="000E1209"/>
    <w:rsid w:val="000E48A8"/>
    <w:rsid w:val="000F168E"/>
    <w:rsid w:val="000F6E7C"/>
    <w:rsid w:val="001013E1"/>
    <w:rsid w:val="0010196F"/>
    <w:rsid w:val="001051AF"/>
    <w:rsid w:val="00106BA3"/>
    <w:rsid w:val="00110B1F"/>
    <w:rsid w:val="00110EDA"/>
    <w:rsid w:val="0011231F"/>
    <w:rsid w:val="00112EFC"/>
    <w:rsid w:val="001131EA"/>
    <w:rsid w:val="00116EF3"/>
    <w:rsid w:val="00120A5E"/>
    <w:rsid w:val="0012340B"/>
    <w:rsid w:val="0012488E"/>
    <w:rsid w:val="00124B0D"/>
    <w:rsid w:val="00125024"/>
    <w:rsid w:val="00127FE8"/>
    <w:rsid w:val="00131D30"/>
    <w:rsid w:val="00134011"/>
    <w:rsid w:val="00135F93"/>
    <w:rsid w:val="00137744"/>
    <w:rsid w:val="00143294"/>
    <w:rsid w:val="00146AB9"/>
    <w:rsid w:val="00167799"/>
    <w:rsid w:val="00170451"/>
    <w:rsid w:val="001738F0"/>
    <w:rsid w:val="00176F21"/>
    <w:rsid w:val="00182E04"/>
    <w:rsid w:val="001834A2"/>
    <w:rsid w:val="00186190"/>
    <w:rsid w:val="00192C0F"/>
    <w:rsid w:val="001A0C7A"/>
    <w:rsid w:val="001A281F"/>
    <w:rsid w:val="001A7D56"/>
    <w:rsid w:val="001B1730"/>
    <w:rsid w:val="001C1A51"/>
    <w:rsid w:val="001C6985"/>
    <w:rsid w:val="001D3DA7"/>
    <w:rsid w:val="001D4042"/>
    <w:rsid w:val="001D4EF4"/>
    <w:rsid w:val="001E31D7"/>
    <w:rsid w:val="001E5D98"/>
    <w:rsid w:val="001F5524"/>
    <w:rsid w:val="00202030"/>
    <w:rsid w:val="00203BFF"/>
    <w:rsid w:val="00212D6D"/>
    <w:rsid w:val="002133F2"/>
    <w:rsid w:val="0021711E"/>
    <w:rsid w:val="00220E2D"/>
    <w:rsid w:val="002211FB"/>
    <w:rsid w:val="0022214B"/>
    <w:rsid w:val="002274D9"/>
    <w:rsid w:val="002441C6"/>
    <w:rsid w:val="002449A1"/>
    <w:rsid w:val="00251642"/>
    <w:rsid w:val="00255140"/>
    <w:rsid w:val="00261406"/>
    <w:rsid w:val="00261C11"/>
    <w:rsid w:val="00271BCB"/>
    <w:rsid w:val="00275270"/>
    <w:rsid w:val="0028056A"/>
    <w:rsid w:val="002852EE"/>
    <w:rsid w:val="0029179F"/>
    <w:rsid w:val="00292326"/>
    <w:rsid w:val="002925CB"/>
    <w:rsid w:val="00295361"/>
    <w:rsid w:val="00296348"/>
    <w:rsid w:val="00297E1A"/>
    <w:rsid w:val="002A402F"/>
    <w:rsid w:val="002B61DD"/>
    <w:rsid w:val="002B7076"/>
    <w:rsid w:val="002C2028"/>
    <w:rsid w:val="002C229B"/>
    <w:rsid w:val="002C27D4"/>
    <w:rsid w:val="002C6AEB"/>
    <w:rsid w:val="002C722D"/>
    <w:rsid w:val="002D04D0"/>
    <w:rsid w:val="002D76B2"/>
    <w:rsid w:val="002E1476"/>
    <w:rsid w:val="002E3299"/>
    <w:rsid w:val="002E4985"/>
    <w:rsid w:val="002E64CC"/>
    <w:rsid w:val="002F1A53"/>
    <w:rsid w:val="002F3568"/>
    <w:rsid w:val="002F7AB9"/>
    <w:rsid w:val="0030157A"/>
    <w:rsid w:val="00302995"/>
    <w:rsid w:val="00303D3D"/>
    <w:rsid w:val="0031712B"/>
    <w:rsid w:val="0032092A"/>
    <w:rsid w:val="00321717"/>
    <w:rsid w:val="00321D5F"/>
    <w:rsid w:val="00326C3E"/>
    <w:rsid w:val="003305CD"/>
    <w:rsid w:val="00333C15"/>
    <w:rsid w:val="00342D9D"/>
    <w:rsid w:val="00342E7E"/>
    <w:rsid w:val="00364A0C"/>
    <w:rsid w:val="003738EA"/>
    <w:rsid w:val="00375491"/>
    <w:rsid w:val="003822A8"/>
    <w:rsid w:val="00383DCC"/>
    <w:rsid w:val="00386A4E"/>
    <w:rsid w:val="00386C51"/>
    <w:rsid w:val="00387362"/>
    <w:rsid w:val="00390FCA"/>
    <w:rsid w:val="00394A95"/>
    <w:rsid w:val="00396306"/>
    <w:rsid w:val="00397742"/>
    <w:rsid w:val="003B4151"/>
    <w:rsid w:val="003B669C"/>
    <w:rsid w:val="003B786E"/>
    <w:rsid w:val="003C6EF7"/>
    <w:rsid w:val="003D0F7B"/>
    <w:rsid w:val="003D0FE9"/>
    <w:rsid w:val="003D2BCE"/>
    <w:rsid w:val="003D4037"/>
    <w:rsid w:val="003D4529"/>
    <w:rsid w:val="003D4B46"/>
    <w:rsid w:val="003D5F48"/>
    <w:rsid w:val="003E01B3"/>
    <w:rsid w:val="003E3199"/>
    <w:rsid w:val="003F050A"/>
    <w:rsid w:val="003F059B"/>
    <w:rsid w:val="003F3437"/>
    <w:rsid w:val="003F50D1"/>
    <w:rsid w:val="003F5F88"/>
    <w:rsid w:val="0041273F"/>
    <w:rsid w:val="00426325"/>
    <w:rsid w:val="004372DA"/>
    <w:rsid w:val="00437A33"/>
    <w:rsid w:val="004469A3"/>
    <w:rsid w:val="0045270B"/>
    <w:rsid w:val="00454C45"/>
    <w:rsid w:val="004624BE"/>
    <w:rsid w:val="00465A92"/>
    <w:rsid w:val="004679CE"/>
    <w:rsid w:val="00470270"/>
    <w:rsid w:val="00471CBF"/>
    <w:rsid w:val="00485AD1"/>
    <w:rsid w:val="004932B6"/>
    <w:rsid w:val="004946E0"/>
    <w:rsid w:val="00495E6D"/>
    <w:rsid w:val="004A1602"/>
    <w:rsid w:val="004A51A8"/>
    <w:rsid w:val="004B4D89"/>
    <w:rsid w:val="004B516E"/>
    <w:rsid w:val="004C0E26"/>
    <w:rsid w:val="004C343D"/>
    <w:rsid w:val="004C5277"/>
    <w:rsid w:val="004C6632"/>
    <w:rsid w:val="004D3884"/>
    <w:rsid w:val="004D5BBA"/>
    <w:rsid w:val="004D7816"/>
    <w:rsid w:val="004E0748"/>
    <w:rsid w:val="004E728E"/>
    <w:rsid w:val="004F0AAB"/>
    <w:rsid w:val="004F743F"/>
    <w:rsid w:val="004F7C1B"/>
    <w:rsid w:val="00500A8F"/>
    <w:rsid w:val="005060F9"/>
    <w:rsid w:val="0051106C"/>
    <w:rsid w:val="00512BAE"/>
    <w:rsid w:val="00520C0E"/>
    <w:rsid w:val="00522EAE"/>
    <w:rsid w:val="005250F2"/>
    <w:rsid w:val="00525703"/>
    <w:rsid w:val="00527573"/>
    <w:rsid w:val="005326B5"/>
    <w:rsid w:val="005339BB"/>
    <w:rsid w:val="00536F45"/>
    <w:rsid w:val="00537EE6"/>
    <w:rsid w:val="00547E75"/>
    <w:rsid w:val="00555016"/>
    <w:rsid w:val="00556212"/>
    <w:rsid w:val="0057138A"/>
    <w:rsid w:val="00572B6E"/>
    <w:rsid w:val="005762B0"/>
    <w:rsid w:val="00584716"/>
    <w:rsid w:val="005849E3"/>
    <w:rsid w:val="00584E4F"/>
    <w:rsid w:val="00584E6C"/>
    <w:rsid w:val="00586D6C"/>
    <w:rsid w:val="00587D18"/>
    <w:rsid w:val="00596D1A"/>
    <w:rsid w:val="005A31F5"/>
    <w:rsid w:val="005A65C8"/>
    <w:rsid w:val="005B69C2"/>
    <w:rsid w:val="005C11E5"/>
    <w:rsid w:val="005C27A1"/>
    <w:rsid w:val="005C7CC0"/>
    <w:rsid w:val="005D0683"/>
    <w:rsid w:val="005E527B"/>
    <w:rsid w:val="005E5A41"/>
    <w:rsid w:val="005E674A"/>
    <w:rsid w:val="005E6E17"/>
    <w:rsid w:val="005F6112"/>
    <w:rsid w:val="00606AA2"/>
    <w:rsid w:val="00606C4F"/>
    <w:rsid w:val="0061065E"/>
    <w:rsid w:val="00617A76"/>
    <w:rsid w:val="00621ED0"/>
    <w:rsid w:val="00622238"/>
    <w:rsid w:val="00624BB2"/>
    <w:rsid w:val="00632329"/>
    <w:rsid w:val="00637AD1"/>
    <w:rsid w:val="006452B3"/>
    <w:rsid w:val="0066295A"/>
    <w:rsid w:val="00663035"/>
    <w:rsid w:val="00664055"/>
    <w:rsid w:val="00666CF9"/>
    <w:rsid w:val="00667457"/>
    <w:rsid w:val="00667A61"/>
    <w:rsid w:val="00670ED6"/>
    <w:rsid w:val="0067541F"/>
    <w:rsid w:val="006858D5"/>
    <w:rsid w:val="00687DBB"/>
    <w:rsid w:val="00696B1C"/>
    <w:rsid w:val="006A2B5F"/>
    <w:rsid w:val="006A32C4"/>
    <w:rsid w:val="006A72B8"/>
    <w:rsid w:val="006B576E"/>
    <w:rsid w:val="006C1F05"/>
    <w:rsid w:val="006C2070"/>
    <w:rsid w:val="006D5B15"/>
    <w:rsid w:val="006D642C"/>
    <w:rsid w:val="006F1BFD"/>
    <w:rsid w:val="00700EA9"/>
    <w:rsid w:val="0070255A"/>
    <w:rsid w:val="00705BEF"/>
    <w:rsid w:val="00706179"/>
    <w:rsid w:val="007113DD"/>
    <w:rsid w:val="0071430B"/>
    <w:rsid w:val="00720659"/>
    <w:rsid w:val="0072201D"/>
    <w:rsid w:val="00733292"/>
    <w:rsid w:val="00733D5F"/>
    <w:rsid w:val="007423FD"/>
    <w:rsid w:val="007619AD"/>
    <w:rsid w:val="00762330"/>
    <w:rsid w:val="007640E0"/>
    <w:rsid w:val="007652B1"/>
    <w:rsid w:val="00770616"/>
    <w:rsid w:val="00772E22"/>
    <w:rsid w:val="00775505"/>
    <w:rsid w:val="00776AE1"/>
    <w:rsid w:val="00785C31"/>
    <w:rsid w:val="007A01B4"/>
    <w:rsid w:val="007A03BE"/>
    <w:rsid w:val="007A07E5"/>
    <w:rsid w:val="007A385D"/>
    <w:rsid w:val="007A3E79"/>
    <w:rsid w:val="007A7362"/>
    <w:rsid w:val="007B5A17"/>
    <w:rsid w:val="007B7729"/>
    <w:rsid w:val="007C66DE"/>
    <w:rsid w:val="007D0768"/>
    <w:rsid w:val="007D224F"/>
    <w:rsid w:val="007E0C8A"/>
    <w:rsid w:val="007E3816"/>
    <w:rsid w:val="007F5700"/>
    <w:rsid w:val="00802548"/>
    <w:rsid w:val="00802957"/>
    <w:rsid w:val="00814AA6"/>
    <w:rsid w:val="008240FB"/>
    <w:rsid w:val="008267EE"/>
    <w:rsid w:val="0083050D"/>
    <w:rsid w:val="00832E9B"/>
    <w:rsid w:val="008432ED"/>
    <w:rsid w:val="00843F7D"/>
    <w:rsid w:val="008450F3"/>
    <w:rsid w:val="0086227D"/>
    <w:rsid w:val="00863FEE"/>
    <w:rsid w:val="008653E0"/>
    <w:rsid w:val="008743F4"/>
    <w:rsid w:val="0088500C"/>
    <w:rsid w:val="0089014A"/>
    <w:rsid w:val="008902CF"/>
    <w:rsid w:val="008966E9"/>
    <w:rsid w:val="008B4A3B"/>
    <w:rsid w:val="008B56E5"/>
    <w:rsid w:val="008C1F77"/>
    <w:rsid w:val="008D3CFE"/>
    <w:rsid w:val="008D5E6C"/>
    <w:rsid w:val="008D7F16"/>
    <w:rsid w:val="008E4534"/>
    <w:rsid w:val="008E54DB"/>
    <w:rsid w:val="008F1045"/>
    <w:rsid w:val="008F5084"/>
    <w:rsid w:val="009018E4"/>
    <w:rsid w:val="00903BED"/>
    <w:rsid w:val="00905613"/>
    <w:rsid w:val="00905BF1"/>
    <w:rsid w:val="00913572"/>
    <w:rsid w:val="009171E7"/>
    <w:rsid w:val="00917A3B"/>
    <w:rsid w:val="0092087F"/>
    <w:rsid w:val="0092377F"/>
    <w:rsid w:val="00930DF7"/>
    <w:rsid w:val="00936821"/>
    <w:rsid w:val="0094276A"/>
    <w:rsid w:val="00942C75"/>
    <w:rsid w:val="0094597E"/>
    <w:rsid w:val="00951195"/>
    <w:rsid w:val="00952045"/>
    <w:rsid w:val="00952BA5"/>
    <w:rsid w:val="009554FB"/>
    <w:rsid w:val="00957EEC"/>
    <w:rsid w:val="00963696"/>
    <w:rsid w:val="009642E6"/>
    <w:rsid w:val="009645E2"/>
    <w:rsid w:val="00965CCC"/>
    <w:rsid w:val="00972BCD"/>
    <w:rsid w:val="0097304E"/>
    <w:rsid w:val="0097647D"/>
    <w:rsid w:val="00983752"/>
    <w:rsid w:val="00983EF6"/>
    <w:rsid w:val="009959F3"/>
    <w:rsid w:val="009A11C1"/>
    <w:rsid w:val="009A27F7"/>
    <w:rsid w:val="009A292D"/>
    <w:rsid w:val="009A4CAF"/>
    <w:rsid w:val="009A69B5"/>
    <w:rsid w:val="009B0D73"/>
    <w:rsid w:val="009B3167"/>
    <w:rsid w:val="009C020C"/>
    <w:rsid w:val="009C5D67"/>
    <w:rsid w:val="009C698C"/>
    <w:rsid w:val="009C7A2D"/>
    <w:rsid w:val="009C7CE4"/>
    <w:rsid w:val="009E48EF"/>
    <w:rsid w:val="009E4A3B"/>
    <w:rsid w:val="009F0653"/>
    <w:rsid w:val="009F7FCB"/>
    <w:rsid w:val="00A00B17"/>
    <w:rsid w:val="00A01F4A"/>
    <w:rsid w:val="00A1042E"/>
    <w:rsid w:val="00A12D7E"/>
    <w:rsid w:val="00A1794D"/>
    <w:rsid w:val="00A207E1"/>
    <w:rsid w:val="00A220C6"/>
    <w:rsid w:val="00A2358C"/>
    <w:rsid w:val="00A2663A"/>
    <w:rsid w:val="00A31C85"/>
    <w:rsid w:val="00A32C2E"/>
    <w:rsid w:val="00A33A9E"/>
    <w:rsid w:val="00A6172B"/>
    <w:rsid w:val="00A623DF"/>
    <w:rsid w:val="00A67B5E"/>
    <w:rsid w:val="00A67F01"/>
    <w:rsid w:val="00A72E16"/>
    <w:rsid w:val="00A73298"/>
    <w:rsid w:val="00A76003"/>
    <w:rsid w:val="00A76D78"/>
    <w:rsid w:val="00A83140"/>
    <w:rsid w:val="00A843DA"/>
    <w:rsid w:val="00A84830"/>
    <w:rsid w:val="00AA2334"/>
    <w:rsid w:val="00AA4DC4"/>
    <w:rsid w:val="00AB05C6"/>
    <w:rsid w:val="00AB66D7"/>
    <w:rsid w:val="00AC32C6"/>
    <w:rsid w:val="00AD7BA1"/>
    <w:rsid w:val="00AF5247"/>
    <w:rsid w:val="00AF78C6"/>
    <w:rsid w:val="00AF7CB4"/>
    <w:rsid w:val="00B00961"/>
    <w:rsid w:val="00B12237"/>
    <w:rsid w:val="00B12F3C"/>
    <w:rsid w:val="00B24FF7"/>
    <w:rsid w:val="00B2543C"/>
    <w:rsid w:val="00B26192"/>
    <w:rsid w:val="00B40A66"/>
    <w:rsid w:val="00B50CF4"/>
    <w:rsid w:val="00B5341B"/>
    <w:rsid w:val="00B57B39"/>
    <w:rsid w:val="00B6632A"/>
    <w:rsid w:val="00B67C18"/>
    <w:rsid w:val="00B74F9C"/>
    <w:rsid w:val="00B801E0"/>
    <w:rsid w:val="00B83422"/>
    <w:rsid w:val="00B841C1"/>
    <w:rsid w:val="00B8765A"/>
    <w:rsid w:val="00B955B3"/>
    <w:rsid w:val="00BA15F6"/>
    <w:rsid w:val="00BB11A8"/>
    <w:rsid w:val="00BB2026"/>
    <w:rsid w:val="00BC3B43"/>
    <w:rsid w:val="00BC5535"/>
    <w:rsid w:val="00BD3B93"/>
    <w:rsid w:val="00BE02A7"/>
    <w:rsid w:val="00BE2788"/>
    <w:rsid w:val="00BE2F9B"/>
    <w:rsid w:val="00BE6F4C"/>
    <w:rsid w:val="00BE7E70"/>
    <w:rsid w:val="00BF460C"/>
    <w:rsid w:val="00BF5F9C"/>
    <w:rsid w:val="00C02F99"/>
    <w:rsid w:val="00C05D8E"/>
    <w:rsid w:val="00C06B20"/>
    <w:rsid w:val="00C06CBE"/>
    <w:rsid w:val="00C123C3"/>
    <w:rsid w:val="00C126DF"/>
    <w:rsid w:val="00C15DBB"/>
    <w:rsid w:val="00C444EA"/>
    <w:rsid w:val="00C50DF8"/>
    <w:rsid w:val="00C5114A"/>
    <w:rsid w:val="00C55BB5"/>
    <w:rsid w:val="00C64953"/>
    <w:rsid w:val="00C745E3"/>
    <w:rsid w:val="00C75C2E"/>
    <w:rsid w:val="00C766EF"/>
    <w:rsid w:val="00C773FC"/>
    <w:rsid w:val="00C807AA"/>
    <w:rsid w:val="00C80EE6"/>
    <w:rsid w:val="00C817A7"/>
    <w:rsid w:val="00C861B2"/>
    <w:rsid w:val="00CA2A8B"/>
    <w:rsid w:val="00CA65E9"/>
    <w:rsid w:val="00CB4339"/>
    <w:rsid w:val="00CB6A55"/>
    <w:rsid w:val="00CC06D4"/>
    <w:rsid w:val="00CC1890"/>
    <w:rsid w:val="00CC480B"/>
    <w:rsid w:val="00CC72C5"/>
    <w:rsid w:val="00CC7310"/>
    <w:rsid w:val="00CD332E"/>
    <w:rsid w:val="00CD41C2"/>
    <w:rsid w:val="00CE06FC"/>
    <w:rsid w:val="00CE274D"/>
    <w:rsid w:val="00CE4335"/>
    <w:rsid w:val="00D03331"/>
    <w:rsid w:val="00D073EA"/>
    <w:rsid w:val="00D12776"/>
    <w:rsid w:val="00D2092D"/>
    <w:rsid w:val="00D2549D"/>
    <w:rsid w:val="00D31AFE"/>
    <w:rsid w:val="00D332D6"/>
    <w:rsid w:val="00D346FC"/>
    <w:rsid w:val="00D35444"/>
    <w:rsid w:val="00D3691D"/>
    <w:rsid w:val="00D371C4"/>
    <w:rsid w:val="00D50E81"/>
    <w:rsid w:val="00D634D8"/>
    <w:rsid w:val="00D63C2D"/>
    <w:rsid w:val="00D651FF"/>
    <w:rsid w:val="00D71DEB"/>
    <w:rsid w:val="00D73882"/>
    <w:rsid w:val="00D80609"/>
    <w:rsid w:val="00D82BB6"/>
    <w:rsid w:val="00D8333A"/>
    <w:rsid w:val="00DA100A"/>
    <w:rsid w:val="00DA25AD"/>
    <w:rsid w:val="00DA73E5"/>
    <w:rsid w:val="00DB0090"/>
    <w:rsid w:val="00DB1679"/>
    <w:rsid w:val="00DC2F1C"/>
    <w:rsid w:val="00DC2F84"/>
    <w:rsid w:val="00DC4BA2"/>
    <w:rsid w:val="00DD4C8D"/>
    <w:rsid w:val="00DD7FB4"/>
    <w:rsid w:val="00DF1C7E"/>
    <w:rsid w:val="00DF4AB0"/>
    <w:rsid w:val="00DF66EE"/>
    <w:rsid w:val="00E00371"/>
    <w:rsid w:val="00E032FD"/>
    <w:rsid w:val="00E07A31"/>
    <w:rsid w:val="00E17346"/>
    <w:rsid w:val="00E23047"/>
    <w:rsid w:val="00E23270"/>
    <w:rsid w:val="00E309FD"/>
    <w:rsid w:val="00E403D4"/>
    <w:rsid w:val="00E50150"/>
    <w:rsid w:val="00E5049F"/>
    <w:rsid w:val="00E61308"/>
    <w:rsid w:val="00E61E70"/>
    <w:rsid w:val="00E63B56"/>
    <w:rsid w:val="00E64653"/>
    <w:rsid w:val="00E67E38"/>
    <w:rsid w:val="00E76995"/>
    <w:rsid w:val="00E80E43"/>
    <w:rsid w:val="00E8311C"/>
    <w:rsid w:val="00E87A04"/>
    <w:rsid w:val="00E91515"/>
    <w:rsid w:val="00E922B4"/>
    <w:rsid w:val="00E97970"/>
    <w:rsid w:val="00EA4003"/>
    <w:rsid w:val="00EB0151"/>
    <w:rsid w:val="00EB7ED2"/>
    <w:rsid w:val="00EC43C8"/>
    <w:rsid w:val="00EC4688"/>
    <w:rsid w:val="00ED1806"/>
    <w:rsid w:val="00ED3F02"/>
    <w:rsid w:val="00ED457C"/>
    <w:rsid w:val="00EE0B92"/>
    <w:rsid w:val="00EE0F0E"/>
    <w:rsid w:val="00EE68D2"/>
    <w:rsid w:val="00EF14B7"/>
    <w:rsid w:val="00EF44AD"/>
    <w:rsid w:val="00F014F8"/>
    <w:rsid w:val="00F13937"/>
    <w:rsid w:val="00F17267"/>
    <w:rsid w:val="00F27587"/>
    <w:rsid w:val="00F307F9"/>
    <w:rsid w:val="00F3131F"/>
    <w:rsid w:val="00F32538"/>
    <w:rsid w:val="00F34A00"/>
    <w:rsid w:val="00F34D93"/>
    <w:rsid w:val="00F62AEB"/>
    <w:rsid w:val="00F66A6D"/>
    <w:rsid w:val="00F72010"/>
    <w:rsid w:val="00F76428"/>
    <w:rsid w:val="00F77798"/>
    <w:rsid w:val="00F77B4D"/>
    <w:rsid w:val="00F820F7"/>
    <w:rsid w:val="00F83A44"/>
    <w:rsid w:val="00F85C22"/>
    <w:rsid w:val="00F86B12"/>
    <w:rsid w:val="00F87AC6"/>
    <w:rsid w:val="00F95D78"/>
    <w:rsid w:val="00F979AC"/>
    <w:rsid w:val="00FA5403"/>
    <w:rsid w:val="00FA6353"/>
    <w:rsid w:val="00FB32DE"/>
    <w:rsid w:val="00FB7A50"/>
    <w:rsid w:val="00FC0DF5"/>
    <w:rsid w:val="00FC44B5"/>
    <w:rsid w:val="00FC6127"/>
    <w:rsid w:val="00FC7A4D"/>
    <w:rsid w:val="00FD08A0"/>
    <w:rsid w:val="00FD2E42"/>
    <w:rsid w:val="00FD4AA6"/>
    <w:rsid w:val="00FE2B9E"/>
    <w:rsid w:val="00FE6555"/>
    <w:rsid w:val="00FF51E1"/>
    <w:rsid w:val="08AA33F9"/>
    <w:rsid w:val="0FF44F7A"/>
    <w:rsid w:val="1C8F7DA2"/>
    <w:rsid w:val="3EE45074"/>
    <w:rsid w:val="53AF0B56"/>
    <w:rsid w:val="61F23973"/>
    <w:rsid w:val="73EB68F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